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before="200"/>
        <w:jc w:val="center"/>
      </w:pPr>
      <w:r>
        <w:rPr>
          <w:rFonts w:ascii="Arial" w:cs="Arial" w:eastAsia="Arial" w:hAnsi="Arial"/>
          <w:b/>
          <w:bCs/>
          <w:color w:val="3B3F8C"/>
          <w:sz w:val="44"/>
          <w:szCs w:val="44"/>
        </w:rPr>
        <w:t xml:space="preserve">The 21st Korea Natural Dyeing Cultural Product Exhibition</w:t>
      </w:r>
    </w:p>
    <w:p>
      <w:pPr>
        <w:spacing w:after="60" w:before="60"/>
        <w:jc w:val="center"/>
      </w:pPr>
      <w:r>
        <w:rPr>
          <w:rFonts w:ascii="Arial" w:cs="Arial" w:eastAsia="Arial" w:hAnsi="Arial"/>
          <w:color w:val="777777"/>
          <w:sz w:val="22"/>
          <w:szCs w:val="22"/>
        </w:rPr>
        <w:t xml:space="preserve">제21회 대한민국 천연염색문화상품대전</w:t>
      </w:r>
    </w:p>
    <w:p>
      <w:pPr>
        <w:pBdr>
          <w:top w:val="single" w:color="8B8FC5" w:sz="4"/>
          <w:bottom w:val="single" w:color="8B8FC5" w:sz="4"/>
        </w:pBdr>
        <w:shd w:fill="ECEDF7" w:val="clear"/>
        <w:spacing w:after="200" w:before="60"/>
        <w:jc w:val="center"/>
      </w:pPr>
      <w:r>
        <w:rPr>
          <w:rFonts w:ascii="Arial" w:cs="Arial" w:eastAsia="Arial" w:hAnsi="Arial"/>
          <w:b/>
          <w:bCs/>
          <w:color w:val="3B3F8C"/>
          <w:sz w:val="22"/>
          <w:szCs w:val="22"/>
        </w:rPr>
        <w:t xml:space="preserve">Theme: </w:t>
      </w:r>
      <w:r>
        <w:rPr>
          <w:rFonts w:ascii="Arial" w:cs="Arial" w:eastAsia="Arial" w:hAnsi="Arial"/>
          <w:i/>
          <w:iCs/>
          <w:color w:val="333333"/>
          <w:sz w:val="22"/>
          <w:szCs w:val="22"/>
        </w:rPr>
        <w:t xml:space="preserve">Living Colors, Living Home</w:t>
      </w:r>
      <w:r>
        <w:rPr>
          <w:rFonts w:ascii="Arial" w:cs="Arial" w:eastAsia="Arial" w:hAnsi="Arial"/>
          <w:color w:val="888888"/>
          <w:sz w:val="20"/>
          <w:szCs w:val="20"/>
        </w:rPr>
        <w:t xml:space="preserve">  |  색이 머무는 삶의 공간</w:t>
      </w:r>
    </w:p>
    <w:p>
      <w:pPr>
        <w:spacing w:after="60" w:before="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7360"/>
      </w:tblGrid>
      <w:tr>
        <w:tc>
          <w:tcPr>
            <w:tcW w:type="dxa" w:w="2000"/>
            <w:tcBorders>
              <w:top w:val="single" w:color="CCCCCC" w:sz="1"/>
              <w:left w:val="single" w:color="CCCCCC" w:sz="1"/>
              <w:bottom w:val="single" w:color="CCCCCC" w:sz="1"/>
              <w:right w:val="single" w:color="CCCCCC" w:sz="1"/>
            </w:tcBorders>
            <w:shd w:fill="ECEDF7" w:val="clear"/>
            <w:tcMar>
              <w:top w:type="dxa" w:w="90"/>
              <w:left w:type="dxa" w:w="140"/>
              <w:bottom w:type="dxa" w:w="90"/>
              <w:right w:type="dxa" w:w="100"/>
            </w:tcMar>
            <w:vAlign w:val="center"/>
          </w:tcPr>
          <w:p>
            <w:r>
              <w:rPr>
                <w:rFonts w:ascii="Arial" w:cs="Arial" w:eastAsia="Arial" w:hAnsi="Arial"/>
                <w:b/>
                <w:bCs/>
                <w:color w:val="3B3F8C"/>
                <w:sz w:val="19"/>
                <w:szCs w:val="19"/>
              </w:rPr>
              <w:t xml:space="preserve">Purpose</w:t>
            </w:r>
          </w:p>
        </w:tc>
        <w:tc>
          <w:tcPr>
            <w:tcW w:type="dxa" w:w="7360"/>
            <w:tcBorders>
              <w:top w:val="single" w:color="CCCCCC" w:sz="1"/>
              <w:left w:val="single" w:color="CCCCCC" w:sz="1"/>
              <w:bottom w:val="single" w:color="CCCCCC" w:sz="1"/>
              <w:right w:val="single" w:color="CCCCCC" w:sz="1"/>
            </w:tcBorders>
            <w:shd w:fill="FFFFFF" w:val="clear"/>
            <w:tcMar>
              <w:top w:type="dxa" w:w="90"/>
              <w:left w:type="dxa" w:w="140"/>
              <w:bottom w:type="dxa" w:w="90"/>
              <w:right w:type="dxa" w:w="100"/>
            </w:tcMar>
          </w:tcPr>
          <w:p>
            <w:r>
              <w:rPr>
                <w:rFonts w:ascii="Arial" w:cs="Arial" w:eastAsia="Arial" w:hAnsi="Arial"/>
                <w:color w:val="333333"/>
                <w:sz w:val="19"/>
                <w:szCs w:val="19"/>
              </w:rPr>
              <w:t xml:space="preserve">To discover and nurture outstanding cultural products that combine artistic quality and commercial viability in natural dyeing, strengthening industry competitiveness and promoting the fusion of tradition and modernity in natural dyeing both domestically and internationally.</w:t>
            </w:r>
          </w:p>
        </w:tc>
      </w:tr>
      <w:tr>
        <w:tc>
          <w:tcPr>
            <w:tcW w:type="dxa" w:w="2000"/>
            <w:tcBorders>
              <w:top w:val="single" w:color="CCCCCC" w:sz="1"/>
              <w:left w:val="single" w:color="CCCCCC" w:sz="1"/>
              <w:bottom w:val="single" w:color="CCCCCC" w:sz="1"/>
              <w:right w:val="single" w:color="CCCCCC" w:sz="1"/>
            </w:tcBorders>
            <w:shd w:fill="ECEDF7" w:val="clear"/>
            <w:tcMar>
              <w:top w:type="dxa" w:w="90"/>
              <w:left w:type="dxa" w:w="140"/>
              <w:bottom w:type="dxa" w:w="90"/>
              <w:right w:type="dxa" w:w="100"/>
            </w:tcMar>
            <w:vAlign w:val="center"/>
          </w:tcPr>
          <w:p>
            <w:r>
              <w:rPr>
                <w:rFonts w:ascii="Arial" w:cs="Arial" w:eastAsia="Arial" w:hAnsi="Arial"/>
                <w:b/>
                <w:bCs/>
                <w:color w:val="3B3F8C"/>
                <w:sz w:val="19"/>
                <w:szCs w:val="19"/>
              </w:rPr>
              <w:t xml:space="preserve">Organizer</w:t>
            </w:r>
          </w:p>
        </w:tc>
        <w:tc>
          <w:tcPr>
            <w:tcW w:type="dxa" w:w="7360"/>
            <w:tcBorders>
              <w:top w:val="single" w:color="CCCCCC" w:sz="1"/>
              <w:left w:val="single" w:color="CCCCCC" w:sz="1"/>
              <w:bottom w:val="single" w:color="CCCCCC" w:sz="1"/>
              <w:right w:val="single" w:color="CCCCCC" w:sz="1"/>
            </w:tcBorders>
            <w:shd w:fill="FFFFFF" w:val="clear"/>
            <w:tcMar>
              <w:top w:type="dxa" w:w="90"/>
              <w:left w:type="dxa" w:w="140"/>
              <w:bottom w:type="dxa" w:w="90"/>
              <w:right w:type="dxa" w:w="100"/>
            </w:tcMar>
          </w:tcPr>
          <w:p>
            <w:r>
              <w:rPr>
                <w:rFonts w:ascii="Arial" w:cs="Arial" w:eastAsia="Arial" w:hAnsi="Arial"/>
                <w:color w:val="333333"/>
                <w:sz w:val="19"/>
                <w:szCs w:val="19"/>
              </w:rPr>
              <w:t xml:space="preserve">Korea Natural Dyeing Museum, Naju City Natural Dyeing Culture Foundation</w:t>
            </w:r>
          </w:p>
        </w:tc>
      </w:tr>
      <w:tr>
        <w:tc>
          <w:tcPr>
            <w:tcW w:type="dxa" w:w="2000"/>
            <w:tcBorders>
              <w:top w:val="single" w:color="CCCCCC" w:sz="1"/>
              <w:left w:val="single" w:color="CCCCCC" w:sz="1"/>
              <w:bottom w:val="single" w:color="CCCCCC" w:sz="1"/>
              <w:right w:val="single" w:color="CCCCCC" w:sz="1"/>
            </w:tcBorders>
            <w:shd w:fill="ECEDF7" w:val="clear"/>
            <w:tcMar>
              <w:top w:type="dxa" w:w="90"/>
              <w:left w:type="dxa" w:w="140"/>
              <w:bottom w:type="dxa" w:w="90"/>
              <w:right w:type="dxa" w:w="100"/>
            </w:tcMar>
            <w:vAlign w:val="center"/>
          </w:tcPr>
          <w:p>
            <w:r>
              <w:rPr>
                <w:rFonts w:ascii="Arial" w:cs="Arial" w:eastAsia="Arial" w:hAnsi="Arial"/>
                <w:b/>
                <w:bCs/>
                <w:color w:val="3B3F8C"/>
                <w:sz w:val="19"/>
                <w:szCs w:val="19"/>
              </w:rPr>
              <w:t xml:space="preserve">Supported by</w:t>
            </w:r>
          </w:p>
        </w:tc>
        <w:tc>
          <w:tcPr>
            <w:tcW w:type="dxa" w:w="7360"/>
            <w:tcBorders>
              <w:top w:val="single" w:color="CCCCCC" w:sz="1"/>
              <w:left w:val="single" w:color="CCCCCC" w:sz="1"/>
              <w:bottom w:val="single" w:color="CCCCCC" w:sz="1"/>
              <w:right w:val="single" w:color="CCCCCC" w:sz="1"/>
            </w:tcBorders>
            <w:shd w:fill="FFFFFF" w:val="clear"/>
            <w:tcMar>
              <w:top w:type="dxa" w:w="90"/>
              <w:left w:type="dxa" w:w="140"/>
              <w:bottom w:type="dxa" w:w="90"/>
              <w:right w:type="dxa" w:w="100"/>
            </w:tcMar>
          </w:tcPr>
          <w:p>
            <w:r>
              <w:rPr>
                <w:rFonts w:ascii="Arial" w:cs="Arial" w:eastAsia="Arial" w:hAnsi="Arial"/>
                <w:color w:val="333333"/>
                <w:sz w:val="19"/>
                <w:szCs w:val="19"/>
              </w:rPr>
              <w:t xml:space="preserve">Ministry of Culture, Sports and Tourism · Jeollanam-do · Naju City</w:t>
            </w:r>
          </w:p>
        </w:tc>
      </w:tr>
      <w:tr>
        <w:tc>
          <w:tcPr>
            <w:tcW w:type="dxa" w:w="2000"/>
            <w:tcBorders>
              <w:top w:val="single" w:color="CCCCCC" w:sz="1"/>
              <w:left w:val="single" w:color="CCCCCC" w:sz="1"/>
              <w:bottom w:val="single" w:color="CCCCCC" w:sz="1"/>
              <w:right w:val="single" w:color="CCCCCC" w:sz="1"/>
            </w:tcBorders>
            <w:shd w:fill="ECEDF7" w:val="clear"/>
            <w:tcMar>
              <w:top w:type="dxa" w:w="90"/>
              <w:left w:type="dxa" w:w="140"/>
              <w:bottom w:type="dxa" w:w="90"/>
              <w:right w:type="dxa" w:w="100"/>
            </w:tcMar>
            <w:vAlign w:val="center"/>
          </w:tcPr>
          <w:p>
            <w:r>
              <w:rPr>
                <w:rFonts w:ascii="Arial" w:cs="Arial" w:eastAsia="Arial" w:hAnsi="Arial"/>
                <w:b/>
                <w:bCs/>
                <w:color w:val="3B3F8C"/>
                <w:sz w:val="19"/>
                <w:szCs w:val="19"/>
              </w:rPr>
              <w:t xml:space="preserve">Inquiries</w:t>
            </w:r>
          </w:p>
        </w:tc>
        <w:tc>
          <w:tcPr>
            <w:tcW w:type="dxa" w:w="7360"/>
            <w:tcBorders>
              <w:top w:val="single" w:color="CCCCCC" w:sz="1"/>
              <w:left w:val="single" w:color="CCCCCC" w:sz="1"/>
              <w:bottom w:val="single" w:color="CCCCCC" w:sz="1"/>
              <w:right w:val="single" w:color="CCCCCC" w:sz="1"/>
            </w:tcBorders>
            <w:shd w:fill="FFFFFF" w:val="clear"/>
            <w:tcMar>
              <w:top w:type="dxa" w:w="90"/>
              <w:left w:type="dxa" w:w="140"/>
              <w:bottom w:type="dxa" w:w="90"/>
              <w:right w:type="dxa" w:w="100"/>
            </w:tcMar>
          </w:tcPr>
          <w:p>
            <w:r>
              <w:rPr>
                <w:rFonts w:ascii="Arial" w:cs="Arial" w:eastAsia="Arial" w:hAnsi="Arial"/>
                <w:color w:val="333333"/>
                <w:sz w:val="19"/>
                <w:szCs w:val="19"/>
              </w:rPr>
              <w:t xml:space="preserve">Curatorial Planning Team, Naju City Natural Dyeing Culture Foundation
Tel: 061-335-6091 | Email: rarechuu@naver.com
Website: www.naturaldyeing.or.kr</w:t>
            </w:r>
          </w:p>
        </w:tc>
      </w:tr>
    </w:tbl>
    <w:p>
      <w:pPr>
        <w:spacing w:after="80" w:before="200"/>
      </w:pPr>
    </w:p>
    <w:p>
      <w:pPr>
        <w:pBdr>
          <w:bottom w:val="single" w:color="8B8FC5" w:sz="8" w:space="4"/>
        </w:pBdr>
        <w:spacing w:after="120" w:before="280"/>
      </w:pPr>
      <w:r>
        <w:rPr>
          <w:rFonts w:ascii="Arial" w:cs="Arial" w:eastAsia="Arial" w:hAnsi="Arial"/>
          <w:b/>
          <w:bCs/>
          <w:color w:val="3B3F8C"/>
          <w:sz w:val="26"/>
          <w:szCs w:val="26"/>
        </w:rPr>
        <w:t xml:space="preserve">Key Schedule</w:t>
      </w:r>
    </w:p>
    <w:p>
      <w:pPr>
        <w:spacing w:after="40" w:before="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400"/>
        <w:gridCol w:w="5960"/>
      </w:tblGrid>
      <w:tr>
        <w:tc>
          <w:tcPr>
            <w:tcW w:type="dxa" w:w="3400"/>
            <w:tcBorders>
              <w:top w:val="single" w:color="CCCCCC" w:sz="1"/>
              <w:left w:val="single" w:color="CCCCCC" w:sz="1"/>
              <w:bottom w:val="single" w:color="CCCCCC" w:sz="1"/>
              <w:right w:val="single" w:color="CCCCCC" w:sz="1"/>
            </w:tcBorders>
            <w:shd w:fill="3B3F8C" w:val="clear"/>
            <w:tcMar>
              <w:top w:type="dxa" w:w="100"/>
              <w:left w:type="dxa" w:w="140"/>
              <w:bottom w:type="dxa" w:w="100"/>
              <w:right w:type="dxa" w:w="100"/>
            </w:tcMar>
          </w:tcPr>
          <w:p>
            <w:pPr>
              <w:jc w:val="center"/>
            </w:pPr>
            <w:r>
              <w:rPr>
                <w:rFonts w:ascii="Arial" w:cs="Arial" w:eastAsia="Arial" w:hAnsi="Arial"/>
                <w:b/>
                <w:bCs/>
                <w:color w:val="FFFFFF"/>
                <w:sz w:val="20"/>
                <w:szCs w:val="20"/>
              </w:rPr>
              <w:t xml:space="preserve">Stage</w:t>
            </w:r>
          </w:p>
        </w:tc>
        <w:tc>
          <w:tcPr>
            <w:tcW w:type="dxa" w:w="5960"/>
            <w:tcBorders>
              <w:top w:val="single" w:color="CCCCCC" w:sz="1"/>
              <w:left w:val="single" w:color="CCCCCC" w:sz="1"/>
              <w:bottom w:val="single" w:color="CCCCCC" w:sz="1"/>
              <w:right w:val="single" w:color="CCCCCC" w:sz="1"/>
            </w:tcBorders>
            <w:shd w:fill="3B3F8C" w:val="clear"/>
            <w:tcMar>
              <w:top w:type="dxa" w:w="100"/>
              <w:left w:type="dxa" w:w="140"/>
              <w:bottom w:type="dxa" w:w="100"/>
              <w:right w:type="dxa" w:w="100"/>
            </w:tcMar>
          </w:tcPr>
          <w:p>
            <w:pPr>
              <w:jc w:val="center"/>
            </w:pPr>
            <w:r>
              <w:rPr>
                <w:rFonts w:ascii="Arial" w:cs="Arial" w:eastAsia="Arial" w:hAnsi="Arial"/>
                <w:b/>
                <w:bCs/>
                <w:color w:val="FFFFFF"/>
                <w:sz w:val="20"/>
                <w:szCs w:val="20"/>
              </w:rPr>
              <w:t xml:space="preserve">Date</w:t>
            </w:r>
          </w:p>
        </w:tc>
      </w:tr>
      <w:tr>
        <w:tc>
          <w:tcPr>
            <w:tcW w:type="dxa" w:w="3400"/>
            <w:tcBorders>
              <w:top w:val="single" w:color="CCCCCC" w:sz="1"/>
              <w:left w:val="single" w:color="CCCCCC" w:sz="1"/>
              <w:bottom w:val="single" w:color="CCCCCC" w:sz="1"/>
              <w:right w:val="single" w:color="CCCCCC" w:sz="1"/>
            </w:tcBorders>
            <w:shd w:fill="ECEDF7" w:val="clear"/>
            <w:tcMar>
              <w:top w:type="dxa" w:w="80"/>
              <w:left w:type="dxa" w:w="140"/>
              <w:bottom w:type="dxa" w:w="80"/>
              <w:right w:type="dxa" w:w="100"/>
            </w:tcMar>
            <w:vAlign w:val="center"/>
          </w:tcPr>
          <w:p>
            <w:r>
              <w:rPr>
                <w:rFonts w:ascii="Arial" w:cs="Arial" w:eastAsia="Arial" w:hAnsi="Arial"/>
                <w:b/>
                <w:bCs/>
                <w:color w:val="222222"/>
                <w:sz w:val="19"/>
                <w:szCs w:val="19"/>
              </w:rPr>
              <w:t xml:space="preserve">1st Round – Document Submission</w:t>
            </w:r>
          </w:p>
        </w:tc>
        <w:tc>
          <w:tcPr>
            <w:tcW w:type="dxa" w:w="5960"/>
            <w:tcBorders>
              <w:top w:val="single" w:color="CCCCCC" w:sz="1"/>
              <w:left w:val="single" w:color="CCCCCC" w:sz="1"/>
              <w:bottom w:val="single" w:color="CCCCCC" w:sz="1"/>
              <w:right w:val="single" w:color="CCCCCC" w:sz="1"/>
            </w:tcBorders>
            <w:shd w:fill="FAFAFA" w:val="clear"/>
            <w:tcMar>
              <w:top w:type="dxa" w:w="80"/>
              <w:left w:type="dxa" w:w="140"/>
              <w:bottom w:type="dxa" w:w="80"/>
              <w:right w:type="dxa" w:w="100"/>
            </w:tcMar>
            <w:vAlign w:val="center"/>
          </w:tcPr>
          <w:p>
            <w:r>
              <w:rPr>
                <w:rFonts w:ascii="Arial" w:cs="Arial" w:eastAsia="Arial" w:hAnsi="Arial"/>
                <w:color w:val="333333"/>
                <w:sz w:val="19"/>
                <w:szCs w:val="19"/>
              </w:rPr>
              <w:t xml:space="preserve">Monday, July 20 – Saturday, July 25, 2026</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vAlign w:val="center"/>
          </w:tcPr>
          <w:p>
            <w:r>
              <w:rPr>
                <w:rFonts w:ascii="Arial" w:cs="Arial" w:eastAsia="Arial" w:hAnsi="Arial"/>
                <w:b w:val="false"/>
                <w:bCs w:val="false"/>
                <w:color w:val="222222"/>
                <w:sz w:val="19"/>
                <w:szCs w:val="19"/>
              </w:rPr>
              <w:t xml:space="preserve">2nd Round – Artwork Submission &amp; Delivery</w:t>
            </w:r>
          </w:p>
        </w:tc>
        <w:tc>
          <w:tcPr>
            <w:tcW w:type="dxa" w:w="59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vAlign w:val="center"/>
          </w:tcPr>
          <w:p>
            <w:r>
              <w:rPr>
                <w:rFonts w:ascii="Arial" w:cs="Arial" w:eastAsia="Arial" w:hAnsi="Arial"/>
                <w:color w:val="333333"/>
                <w:sz w:val="19"/>
                <w:szCs w:val="19"/>
              </w:rPr>
              <w:t xml:space="preserve">Sunday, July 26 – Saturday, August 1, 2026</w:t>
            </w:r>
          </w:p>
        </w:tc>
      </w:tr>
      <w:tr>
        <w:tc>
          <w:tcPr>
            <w:tcW w:type="dxa" w:w="3400"/>
            <w:tcBorders>
              <w:top w:val="single" w:color="CCCCCC" w:sz="1"/>
              <w:left w:val="single" w:color="CCCCCC" w:sz="1"/>
              <w:bottom w:val="single" w:color="CCCCCC" w:sz="1"/>
              <w:right w:val="single" w:color="CCCCCC" w:sz="1"/>
            </w:tcBorders>
            <w:shd w:fill="ECEDF7" w:val="clear"/>
            <w:tcMar>
              <w:top w:type="dxa" w:w="80"/>
              <w:left w:type="dxa" w:w="140"/>
              <w:bottom w:type="dxa" w:w="80"/>
              <w:right w:type="dxa" w:w="100"/>
            </w:tcMar>
            <w:vAlign w:val="center"/>
          </w:tcPr>
          <w:p>
            <w:r>
              <w:rPr>
                <w:rFonts w:ascii="Arial" w:cs="Arial" w:eastAsia="Arial" w:hAnsi="Arial"/>
                <w:b w:val="false"/>
                <w:bCs w:val="false"/>
                <w:color w:val="222222"/>
                <w:sz w:val="19"/>
                <w:szCs w:val="19"/>
              </w:rPr>
              <w:t xml:space="preserve">Results Announcement</w:t>
            </w:r>
          </w:p>
        </w:tc>
        <w:tc>
          <w:tcPr>
            <w:tcW w:type="dxa" w:w="5960"/>
            <w:tcBorders>
              <w:top w:val="single" w:color="CCCCCC" w:sz="1"/>
              <w:left w:val="single" w:color="CCCCCC" w:sz="1"/>
              <w:bottom w:val="single" w:color="CCCCCC" w:sz="1"/>
              <w:right w:val="single" w:color="CCCCCC" w:sz="1"/>
            </w:tcBorders>
            <w:shd w:fill="FAFAFA" w:val="clear"/>
            <w:tcMar>
              <w:top w:type="dxa" w:w="80"/>
              <w:left w:type="dxa" w:w="140"/>
              <w:bottom w:type="dxa" w:w="80"/>
              <w:right w:type="dxa" w:w="100"/>
            </w:tcMar>
            <w:vAlign w:val="center"/>
          </w:tcPr>
          <w:p>
            <w:r>
              <w:rPr>
                <w:rFonts w:ascii="Arial" w:cs="Arial" w:eastAsia="Arial" w:hAnsi="Arial"/>
                <w:color w:val="333333"/>
                <w:sz w:val="19"/>
                <w:szCs w:val="19"/>
              </w:rPr>
              <w:t xml:space="preserve">Monday, August 10, 2026 (tentative)</w:t>
            </w:r>
          </w:p>
        </w:tc>
      </w:tr>
      <w:tr>
        <w:tc>
          <w:tcPr>
            <w:tcW w:type="dxa" w:w="34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vAlign w:val="center"/>
          </w:tcPr>
          <w:p>
            <w:r>
              <w:rPr>
                <w:rFonts w:ascii="Arial" w:cs="Arial" w:eastAsia="Arial" w:hAnsi="Arial"/>
                <w:b w:val="false"/>
                <w:bCs w:val="false"/>
                <w:color w:val="222222"/>
                <w:sz w:val="19"/>
                <w:szCs w:val="19"/>
              </w:rPr>
              <w:t xml:space="preserve">Award Ceremony</w:t>
            </w:r>
          </w:p>
        </w:tc>
        <w:tc>
          <w:tcPr>
            <w:tcW w:type="dxa" w:w="59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vAlign w:val="center"/>
          </w:tcPr>
          <w:p>
            <w:r>
              <w:rPr>
                <w:rFonts w:ascii="Arial" w:cs="Arial" w:eastAsia="Arial" w:hAnsi="Arial"/>
                <w:color w:val="333333"/>
                <w:sz w:val="19"/>
                <w:szCs w:val="19"/>
              </w:rPr>
              <w:t xml:space="preserve">Friday, September 4, 2026</w:t>
            </w:r>
          </w:p>
        </w:tc>
      </w:tr>
      <w:tr>
        <w:tc>
          <w:tcPr>
            <w:tcW w:type="dxa" w:w="3400"/>
            <w:tcBorders>
              <w:top w:val="single" w:color="CCCCCC" w:sz="1"/>
              <w:left w:val="single" w:color="CCCCCC" w:sz="1"/>
              <w:bottom w:val="single" w:color="CCCCCC" w:sz="1"/>
              <w:right w:val="single" w:color="CCCCCC" w:sz="1"/>
            </w:tcBorders>
            <w:shd w:fill="ECEDF7" w:val="clear"/>
            <w:tcMar>
              <w:top w:type="dxa" w:w="80"/>
              <w:left w:type="dxa" w:w="140"/>
              <w:bottom w:type="dxa" w:w="80"/>
              <w:right w:type="dxa" w:w="100"/>
            </w:tcMar>
            <w:vAlign w:val="center"/>
          </w:tcPr>
          <w:p>
            <w:r>
              <w:rPr>
                <w:rFonts w:ascii="Arial" w:cs="Arial" w:eastAsia="Arial" w:hAnsi="Arial"/>
                <w:b w:val="false"/>
                <w:bCs w:val="false"/>
                <w:color w:val="222222"/>
                <w:sz w:val="19"/>
                <w:szCs w:val="19"/>
              </w:rPr>
              <w:t xml:space="preserve">Exhibition of Award-Winning Works</w:t>
            </w:r>
          </w:p>
        </w:tc>
        <w:tc>
          <w:tcPr>
            <w:tcW w:type="dxa" w:w="5960"/>
            <w:tcBorders>
              <w:top w:val="single" w:color="CCCCCC" w:sz="1"/>
              <w:left w:val="single" w:color="CCCCCC" w:sz="1"/>
              <w:bottom w:val="single" w:color="CCCCCC" w:sz="1"/>
              <w:right w:val="single" w:color="CCCCCC" w:sz="1"/>
            </w:tcBorders>
            <w:shd w:fill="FAFAFA" w:val="clear"/>
            <w:tcMar>
              <w:top w:type="dxa" w:w="80"/>
              <w:left w:type="dxa" w:w="140"/>
              <w:bottom w:type="dxa" w:w="80"/>
              <w:right w:type="dxa" w:w="100"/>
            </w:tcMar>
            <w:vAlign w:val="center"/>
          </w:tcPr>
          <w:p>
            <w:r>
              <w:rPr>
                <w:rFonts w:ascii="Arial" w:cs="Arial" w:eastAsia="Arial" w:hAnsi="Arial"/>
                <w:color w:val="333333"/>
                <w:sz w:val="19"/>
                <w:szCs w:val="19"/>
              </w:rPr>
              <w:t xml:space="preserve">September 4 (Fri) – September 30 (Wed), 2026 / Special Exhibition Hall, Korea Natural Dyeing Museum</w:t>
            </w:r>
          </w:p>
        </w:tc>
      </w:tr>
    </w:tbl>
    <w:p>
      <w:pPr>
        <w:spacing w:after="40" w:before="40"/>
      </w:pPr>
    </w:p>
    <w:p>
      <w:pPr>
        <w:spacing w:after="25" w:before="25"/>
        <w:ind w:left="360" w:hanging="200"/>
      </w:pPr>
      <w:r>
        <w:rPr>
          <w:rFonts w:ascii="Arial" w:cs="Arial" w:eastAsia="Arial" w:hAnsi="Arial"/>
          <w:color w:val="8B6914"/>
          <w:sz w:val="18"/>
          <w:szCs w:val="18"/>
        </w:rPr>
        <w:t xml:space="preserve">※ </w:t>
      </w:r>
      <w:r>
        <w:rPr>
          <w:rFonts w:ascii="Arial" w:cs="Arial" w:eastAsia="Arial" w:hAnsi="Arial"/>
          <w:i/>
          <w:iCs/>
          <w:color w:val="555555"/>
          <w:sz w:val="18"/>
          <w:szCs w:val="18"/>
        </w:rPr>
        <w:t xml:space="preserve">Exhibition dates and venue are subject to change depending on the Foundation's circumstances.</w:t>
      </w:r>
    </w:p>
    <w:p>
      <w:pPr>
        <w:spacing w:after="25" w:before="25"/>
        <w:ind w:left="360" w:hanging="200"/>
      </w:pPr>
      <w:r>
        <w:rPr>
          <w:rFonts w:ascii="Arial" w:cs="Arial" w:eastAsia="Arial" w:hAnsi="Arial"/>
          <w:color w:val="8B6914"/>
          <w:sz w:val="18"/>
          <w:szCs w:val="18"/>
        </w:rPr>
        <w:t xml:space="preserve">※ </w:t>
      </w:r>
      <w:r>
        <w:rPr>
          <w:rFonts w:ascii="Arial" w:cs="Arial" w:eastAsia="Arial" w:hAnsi="Arial"/>
          <w:i/>
          <w:iCs/>
          <w:color w:val="555555"/>
          <w:sz w:val="18"/>
          <w:szCs w:val="18"/>
        </w:rPr>
        <w:t xml:space="preserve">Only works that arrive by the submission deadline will be accepted.</w:t>
      </w:r>
    </w:p>
    <w:p>
      <w:pPr>
        <w:spacing w:after="80" w:before="200"/>
      </w:pPr>
    </w:p>
    <w:p>
      <w:pPr>
        <w:pBdr>
          <w:bottom w:val="single" w:color="8B8FC5" w:sz="8" w:space="4"/>
        </w:pBdr>
        <w:spacing w:after="120" w:before="280"/>
      </w:pPr>
      <w:r>
        <w:rPr>
          <w:rFonts w:ascii="Arial" w:cs="Arial" w:eastAsia="Arial" w:hAnsi="Arial"/>
          <w:b/>
          <w:bCs/>
          <w:color w:val="3B3F8C"/>
          <w:sz w:val="26"/>
          <w:szCs w:val="26"/>
        </w:rPr>
        <w:t xml:space="preserve">Competition Categories &amp; Submission Requirements</w:t>
      </w:r>
    </w:p>
    <w:p>
      <w:pPr>
        <w:spacing w:after="60" w:before="60"/>
      </w:pPr>
    </w:p>
    <w:p>
      <w:pPr>
        <w:spacing w:after="60" w:before="160"/>
      </w:pPr>
      <w:r>
        <w:rPr>
          <w:rFonts w:ascii="Arial" w:cs="Arial" w:eastAsia="Arial" w:hAnsi="Arial"/>
          <w:b/>
          <w:bCs/>
          <w:color w:val="3B3F8C"/>
          <w:sz w:val="22"/>
          <w:szCs w:val="22"/>
        </w:rPr>
        <w:t xml:space="preserve">A. Competition Category</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Cultural products created using natural dyeing techniques</w:t>
      </w:r>
    </w:p>
    <w:p>
      <w:pPr>
        <w:spacing w:after="25" w:before="25"/>
        <w:ind w:left="360" w:hanging="200"/>
      </w:pPr>
      <w:r>
        <w:rPr>
          <w:rFonts w:ascii="Arial" w:cs="Arial" w:eastAsia="Arial" w:hAnsi="Arial"/>
          <w:color w:val="8B6914"/>
          <w:sz w:val="18"/>
          <w:szCs w:val="18"/>
        </w:rPr>
        <w:t xml:space="preserve">※ </w:t>
      </w:r>
      <w:r>
        <w:rPr>
          <w:rFonts w:ascii="Arial" w:cs="Arial" w:eastAsia="Arial" w:hAnsi="Arial"/>
          <w:i/>
          <w:iCs/>
          <w:color w:val="555555"/>
          <w:sz w:val="18"/>
          <w:szCs w:val="18"/>
        </w:rPr>
        <w:t xml:space="preserve">Only commercially viable cultural products are accepted — artistic works intended solely for display are NOT eligible.</w:t>
      </w:r>
    </w:p>
    <w:p>
      <w:pPr>
        <w:spacing w:after="40" w:before="80"/>
      </w:pPr>
    </w:p>
    <w:p>
      <w:pPr>
        <w:spacing w:after="60" w:before="160"/>
      </w:pPr>
      <w:r>
        <w:rPr>
          <w:rFonts w:ascii="Arial" w:cs="Arial" w:eastAsia="Arial" w:hAnsi="Arial"/>
          <w:b/>
          <w:bCs/>
          <w:color w:val="3B3F8C"/>
          <w:sz w:val="22"/>
          <w:szCs w:val="22"/>
        </w:rPr>
        <w:t xml:space="preserve">B. Size Limits</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2D works: Max 180 cm (W) × 240 cm (H), including frame</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3D works: Max 210 cm (W) × 210 cm (D) × 210 cm (H)</w:t>
      </w:r>
    </w:p>
    <w:p>
      <w:pPr>
        <w:spacing w:after="40" w:before="80"/>
      </w:pPr>
    </w:p>
    <w:p>
      <w:pPr>
        <w:spacing w:after="60" w:before="160"/>
      </w:pPr>
      <w:r>
        <w:rPr>
          <w:rFonts w:ascii="Arial" w:cs="Arial" w:eastAsia="Arial" w:hAnsi="Arial"/>
          <w:b/>
          <w:bCs/>
          <w:color w:val="3B3F8C"/>
          <w:sz w:val="22"/>
          <w:szCs w:val="22"/>
        </w:rPr>
        <w:t xml:space="preserve">C. Submission Rules</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Up to 2 entries per person</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Joint submissions limited to 2 co-creators</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Entry fee: KRW 30,000 per work (International Division: exempt)</w:t>
      </w:r>
    </w:p>
    <w:p>
      <w:pPr>
        <w:spacing w:after="25" w:before="25"/>
        <w:ind w:left="360" w:hanging="200"/>
      </w:pPr>
      <w:r>
        <w:rPr>
          <w:rFonts w:ascii="Arial" w:cs="Arial" w:eastAsia="Arial" w:hAnsi="Arial"/>
          <w:color w:val="8B6914"/>
          <w:sz w:val="18"/>
          <w:szCs w:val="18"/>
        </w:rPr>
        <w:t xml:space="preserve">※ </w:t>
      </w:r>
      <w:r>
        <w:rPr>
          <w:rFonts w:ascii="Arial" w:cs="Arial" w:eastAsia="Arial" w:hAnsi="Arial"/>
          <w:i/>
          <w:iCs/>
          <w:color w:val="555555"/>
          <w:sz w:val="18"/>
          <w:szCs w:val="18"/>
        </w:rPr>
        <w:t xml:space="preserve">Entry fee must be transferred during the 1st round submission period. Include your name and division when making the transfer (e.g., 'Hong Gil-dong / Open Division').</w:t>
      </w:r>
    </w:p>
    <w:p>
      <w:pPr>
        <w:spacing w:after="25" w:before="25"/>
        <w:ind w:left="360" w:hanging="200"/>
      </w:pPr>
      <w:r>
        <w:rPr>
          <w:rFonts w:ascii="Arial" w:cs="Arial" w:eastAsia="Arial" w:hAnsi="Arial"/>
          <w:color w:val="8B6914"/>
          <w:sz w:val="18"/>
          <w:szCs w:val="18"/>
        </w:rPr>
        <w:t xml:space="preserve">※ </w:t>
      </w:r>
      <w:r>
        <w:rPr>
          <w:rFonts w:ascii="Arial" w:cs="Arial" w:eastAsia="Arial" w:hAnsi="Arial"/>
          <w:i/>
          <w:iCs/>
          <w:color w:val="555555"/>
          <w:sz w:val="18"/>
          <w:szCs w:val="18"/>
        </w:rPr>
        <w:t xml:space="preserve">Bank transfer: Gwangju Bank 742-107-032264 / Naju City Natural Dyeing Culture Foundation</w:t>
      </w:r>
    </w:p>
    <w:p>
      <w:pPr>
        <w:spacing w:after="40" w:before="80"/>
      </w:pPr>
    </w:p>
    <w:p>
      <w:pPr>
        <w:spacing w:after="60" w:before="160"/>
      </w:pPr>
      <w:r>
        <w:rPr>
          <w:rFonts w:ascii="Arial" w:cs="Arial" w:eastAsia="Arial" w:hAnsi="Arial"/>
          <w:b/>
          <w:bCs/>
          <w:color w:val="3B3F8C"/>
          <w:sz w:val="22"/>
          <w:szCs w:val="22"/>
        </w:rPr>
        <w:t xml:space="preserve">D. Ineligible Works</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Works already commercialized or copied domestically or internationally</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Works that have received awards at other similar competitions</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Works that violate public decency</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Works impractical for custom production or commercial sale</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High-value works or those that are difficult to store or transport</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Works where the images submitted in Round 1 do not match the physical work delivered in Round 2 — such works will be disqualified</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Works that do not meet the Foundation's other stated criteria</w:t>
      </w:r>
    </w:p>
    <w:p>
      <w:pPr>
        <w:spacing w:after="80" w:before="200"/>
      </w:pPr>
    </w:p>
    <w:p>
      <w:pPr>
        <w:pBdr>
          <w:bottom w:val="single" w:color="8B8FC5" w:sz="8" w:space="4"/>
        </w:pBdr>
        <w:spacing w:after="120" w:before="280"/>
      </w:pPr>
      <w:r>
        <w:rPr>
          <w:rFonts w:ascii="Arial" w:cs="Arial" w:eastAsia="Arial" w:hAnsi="Arial"/>
          <w:b/>
          <w:bCs/>
          <w:color w:val="3B3F8C"/>
          <w:sz w:val="26"/>
          <w:szCs w:val="26"/>
        </w:rPr>
        <w:t xml:space="preserve">How to Apply</w:t>
      </w:r>
    </w:p>
    <w:p>
      <w:pPr>
        <w:spacing w:after="60" w:before="60"/>
      </w:pPr>
    </w:p>
    <w:p>
      <w:pPr>
        <w:spacing w:after="60" w:before="160"/>
      </w:pPr>
      <w:r>
        <w:rPr>
          <w:rFonts w:ascii="Arial" w:cs="Arial" w:eastAsia="Arial" w:hAnsi="Arial"/>
          <w:b/>
          <w:bCs/>
          <w:color w:val="3B3F8C"/>
          <w:sz w:val="22"/>
          <w:szCs w:val="22"/>
        </w:rPr>
        <w:t xml:space="preserve">A. 1st Round – Document Submission (July 20 – July 25, 2026)</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Required documents: Completed entry application (1 copy) + Work description (1 copy)</w:t>
      </w:r>
    </w:p>
    <w:p>
      <w:pPr>
        <w:spacing w:after="25" w:before="25"/>
        <w:ind w:left="360" w:hanging="200"/>
      </w:pPr>
      <w:r>
        <w:rPr>
          <w:rFonts w:ascii="Arial" w:cs="Arial" w:eastAsia="Arial" w:hAnsi="Arial"/>
          <w:color w:val="8B6914"/>
          <w:sz w:val="18"/>
          <w:szCs w:val="18"/>
        </w:rPr>
        <w:t xml:space="preserve">※ </w:t>
      </w:r>
      <w:r>
        <w:rPr>
          <w:rFonts w:ascii="Arial" w:cs="Arial" w:eastAsia="Arial" w:hAnsi="Arial"/>
          <w:i/>
          <w:iCs/>
          <w:color w:val="555555"/>
          <w:sz w:val="18"/>
          <w:szCs w:val="18"/>
        </w:rPr>
        <w:t xml:space="preserve">Download forms from the Korea Natural Dyeing Museum website &gt; Notices (www.naturaldyeing.or.kr).</w:t>
      </w:r>
    </w:p>
    <w:p>
      <w:pPr>
        <w:spacing w:after="25" w:before="25"/>
        <w:ind w:left="360" w:hanging="200"/>
      </w:pPr>
      <w:r>
        <w:rPr>
          <w:rFonts w:ascii="Arial" w:cs="Arial" w:eastAsia="Arial" w:hAnsi="Arial"/>
          <w:color w:val="8B6914"/>
          <w:sz w:val="18"/>
          <w:szCs w:val="18"/>
        </w:rPr>
        <w:t xml:space="preserve">※ </w:t>
      </w:r>
      <w:r>
        <w:rPr>
          <w:rFonts w:ascii="Arial" w:cs="Arial" w:eastAsia="Arial" w:hAnsi="Arial"/>
          <w:i/>
          <w:iCs/>
          <w:color w:val="555555"/>
          <w:sz w:val="18"/>
          <w:szCs w:val="18"/>
        </w:rPr>
        <w:t xml:space="preserve">Applications without a work description and photographs will be excluded from judging.</w:t>
      </w:r>
    </w:p>
    <w:p>
      <w:pPr>
        <w:spacing w:after="20" w:before="40"/>
      </w:pP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Submission portal: Web Hard (www.webhard.co.kr / ID: na0091 / PW: 0160)</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Submission steps: Go to Guest folder → '21st Korea Natural Dyeing Cultural Product Exhibition' → Select 'Domestic' or 'International' folder → Create a folder with your name (set a password) → Upload files</w:t>
      </w:r>
    </w:p>
    <w:p>
      <w:pPr>
        <w:spacing w:after="60" w:before="80"/>
      </w:pPr>
    </w:p>
    <w:p>
      <w:pPr>
        <w:spacing w:after="60" w:before="160"/>
      </w:pPr>
      <w:r>
        <w:rPr>
          <w:rFonts w:ascii="Arial" w:cs="Arial" w:eastAsia="Arial" w:hAnsi="Arial"/>
          <w:b/>
          <w:bCs/>
          <w:color w:val="3B3F8C"/>
          <w:sz w:val="22"/>
          <w:szCs w:val="22"/>
        </w:rPr>
        <w:t xml:space="preserve">B. 2nd Round – Physical Work Submission (July 26 – August 1, 2026)</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Required document: Signed consent form</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Delivery address: Curatorial Planning Team, Naju City Natural Dyeing Culture Foundation, 379 Baekho-ro, Dasi-myeon, Naju-si, Jeollanam-do 58280, Republic of Korea</w:t>
      </w:r>
    </w:p>
    <w:p>
      <w:pPr>
        <w:spacing w:after="80" w:before="200"/>
      </w:pPr>
    </w:p>
    <w:p>
      <w:pPr>
        <w:pBdr>
          <w:bottom w:val="single" w:color="8B8FC5" w:sz="8" w:space="4"/>
        </w:pBdr>
        <w:spacing w:after="120" w:before="280"/>
      </w:pPr>
      <w:r>
        <w:rPr>
          <w:rFonts w:ascii="Arial" w:cs="Arial" w:eastAsia="Arial" w:hAnsi="Arial"/>
          <w:b/>
          <w:bCs/>
          <w:color w:val="3B3F8C"/>
          <w:sz w:val="26"/>
          <w:szCs w:val="26"/>
        </w:rPr>
        <w:t xml:space="preserve">Judging Process</w:t>
      </w:r>
    </w:p>
    <w:p>
      <w:pPr>
        <w:spacing w:after="60" w:before="60"/>
      </w:pPr>
    </w:p>
    <w:p>
      <w:pPr>
        <w:spacing w:after="60" w:before="160"/>
      </w:pPr>
      <w:r>
        <w:rPr>
          <w:rFonts w:ascii="Arial" w:cs="Arial" w:eastAsia="Arial" w:hAnsi="Arial"/>
          <w:b/>
          <w:bCs/>
          <w:color w:val="3B3F8C"/>
          <w:sz w:val="22"/>
          <w:szCs w:val="22"/>
        </w:rPr>
        <w:t xml:space="preserve">A. Panel Composition</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Specialists from relevant institutions, academia, and industry</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Judges who have served on the panel within the past 2 years are excluded</w:t>
      </w:r>
    </w:p>
    <w:p>
      <w:pPr>
        <w:spacing w:after="40" w:before="80"/>
      </w:pPr>
    </w:p>
    <w:p>
      <w:pPr>
        <w:spacing w:after="60" w:before="160"/>
      </w:pPr>
      <w:r>
        <w:rPr>
          <w:rFonts w:ascii="Arial" w:cs="Arial" w:eastAsia="Arial" w:hAnsi="Arial"/>
          <w:b/>
          <w:bCs/>
          <w:color w:val="3B3F8C"/>
          <w:sz w:val="22"/>
          <w:szCs w:val="22"/>
        </w:rPr>
        <w:t xml:space="preserve">B. Judging Rounds</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Round 1 – Elimination: Judges reach a consensus to identify and remove non-qualifying entries. Works are screened for authentic natural dyeing and compliance with competition requirements.</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Round 2 – Selection of Honorable Mentions and Selected Works: Sticker voting method. An additional 10% of the expected award recipients are shortlisted for Round 3.</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Round 3 – Final Award Decisions (Bronze and above): Individual scoring by each judge; final rankings determined by total score.</w:t>
      </w:r>
    </w:p>
    <w:p>
      <w:pPr>
        <w:spacing w:after="40" w:before="80"/>
      </w:pPr>
    </w:p>
    <w:p>
      <w:pPr>
        <w:spacing w:after="60" w:before="160"/>
      </w:pPr>
      <w:r>
        <w:rPr>
          <w:rFonts w:ascii="Arial" w:cs="Arial" w:eastAsia="Arial" w:hAnsi="Arial"/>
          <w:b/>
          <w:bCs/>
          <w:color w:val="3B3F8C"/>
          <w:sz w:val="22"/>
          <w:szCs w:val="22"/>
        </w:rPr>
        <w:t xml:space="preserve">C. Evaluation Criteria</w:t>
      </w:r>
    </w:p>
    <w:p>
      <w:pPr>
        <w:spacing w:after="30" w:before="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7360"/>
      </w:tblGrid>
      <w:tr>
        <w:tc>
          <w:tcPr>
            <w:tcW w:type="dxa" w:w="2000"/>
            <w:tcBorders>
              <w:top w:val="single" w:color="CCCCCC" w:sz="1"/>
              <w:left w:val="single" w:color="CCCCCC" w:sz="1"/>
              <w:bottom w:val="single" w:color="CCCCCC" w:sz="1"/>
              <w:right w:val="single" w:color="CCCCCC" w:sz="1"/>
            </w:tcBorders>
            <w:shd w:fill="3B3F8C" w:val="clear"/>
            <w:tcMar>
              <w:top w:type="dxa" w:w="90"/>
              <w:left w:type="dxa" w:w="140"/>
              <w:bottom w:type="dxa" w:w="90"/>
              <w:right w:type="dxa" w:w="100"/>
            </w:tcMar>
          </w:tcPr>
          <w:p>
            <w:pPr>
              <w:jc w:val="center"/>
            </w:pPr>
            <w:r>
              <w:rPr>
                <w:rFonts w:ascii="Arial" w:cs="Arial" w:eastAsia="Arial" w:hAnsi="Arial"/>
                <w:b/>
                <w:bCs/>
                <w:color w:val="FFFFFF"/>
                <w:sz w:val="19"/>
                <w:szCs w:val="19"/>
              </w:rPr>
              <w:t xml:space="preserve">Criterion</w:t>
            </w:r>
          </w:p>
        </w:tc>
        <w:tc>
          <w:tcPr>
            <w:tcW w:type="dxa" w:w="7360"/>
            <w:tcBorders>
              <w:top w:val="single" w:color="CCCCCC" w:sz="1"/>
              <w:left w:val="single" w:color="CCCCCC" w:sz="1"/>
              <w:bottom w:val="single" w:color="CCCCCC" w:sz="1"/>
              <w:right w:val="single" w:color="CCCCCC" w:sz="1"/>
            </w:tcBorders>
            <w:shd w:fill="3B3F8C" w:val="clear"/>
            <w:tcMar>
              <w:top w:type="dxa" w:w="90"/>
              <w:left w:type="dxa" w:w="140"/>
              <w:bottom w:type="dxa" w:w="90"/>
              <w:right w:type="dxa" w:w="100"/>
            </w:tcMar>
          </w:tcPr>
          <w:p>
            <w:pPr>
              <w:jc w:val="center"/>
            </w:pPr>
            <w:r>
              <w:rPr>
                <w:rFonts w:ascii="Arial" w:cs="Arial" w:eastAsia="Arial" w:hAnsi="Arial"/>
                <w:b/>
                <w:bCs/>
                <w:color w:val="FFFFFF"/>
                <w:sz w:val="19"/>
                <w:szCs w:val="19"/>
              </w:rPr>
              <w:t xml:space="preserve">Description</w:t>
            </w:r>
          </w:p>
        </w:tc>
      </w:tr>
      <w:tr>
        <w:tc>
          <w:tcPr>
            <w:tcW w:type="dxa" w:w="2000"/>
            <w:tcBorders>
              <w:top w:val="single" w:color="CCCCCC" w:sz="1"/>
              <w:left w:val="single" w:color="CCCCCC" w:sz="1"/>
              <w:bottom w:val="single" w:color="CCCCCC" w:sz="1"/>
              <w:right w:val="single" w:color="CCCCCC" w:sz="1"/>
            </w:tcBorders>
            <w:shd w:fill="D2D4EE" w:val="clear"/>
            <w:tcMar>
              <w:top w:type="dxa" w:w="80"/>
              <w:left w:type="dxa" w:w="140"/>
              <w:bottom w:type="dxa" w:w="80"/>
              <w:right w:type="dxa" w:w="100"/>
            </w:tcMar>
            <w:vAlign w:val="center"/>
          </w:tcPr>
          <w:p>
            <w:r>
              <w:rPr>
                <w:rFonts w:ascii="Arial" w:cs="Arial" w:eastAsia="Arial" w:hAnsi="Arial"/>
                <w:b/>
                <w:bCs/>
                <w:color w:val="3B3F8C"/>
                <w:sz w:val="19"/>
                <w:szCs w:val="19"/>
              </w:rPr>
              <w:t xml:space="preserve">Expertise</w:t>
            </w:r>
          </w:p>
        </w:tc>
        <w:tc>
          <w:tcPr>
            <w:tcW w:type="dxa" w:w="7360"/>
            <w:tcBorders>
              <w:top w:val="single" w:color="CCCCCC" w:sz="1"/>
              <w:left w:val="single" w:color="CCCCCC" w:sz="1"/>
              <w:bottom w:val="single" w:color="CCCCCC" w:sz="1"/>
              <w:right w:val="single" w:color="CCCCCC" w:sz="1"/>
            </w:tcBorders>
            <w:shd w:fill="FAFAFA" w:val="clear"/>
            <w:tcMar>
              <w:top w:type="dxa" w:w="80"/>
              <w:left w:type="dxa" w:w="140"/>
              <w:bottom w:type="dxa" w:w="80"/>
              <w:right w:type="dxa" w:w="100"/>
            </w:tcMar>
          </w:tcPr>
          <w:p>
            <w:r>
              <w:rPr>
                <w:rFonts w:ascii="Arial" w:cs="Arial" w:eastAsia="Arial" w:hAnsi="Arial"/>
                <w:color w:val="333333"/>
                <w:sz w:val="19"/>
                <w:szCs w:val="19"/>
              </w:rPr>
              <w:t xml:space="preserve">Level of natural dyeing technique and quality (e.g., colorfastness)</w:t>
            </w:r>
          </w:p>
        </w:tc>
      </w:tr>
      <w:tr>
        <w:tc>
          <w:tcPr>
            <w:tcW w:type="dxa" w:w="2000"/>
            <w:tcBorders>
              <w:top w:val="single" w:color="CCCCCC" w:sz="1"/>
              <w:left w:val="single" w:color="CCCCCC" w:sz="1"/>
              <w:bottom w:val="single" w:color="CCCCCC" w:sz="1"/>
              <w:right w:val="single" w:color="CCCCCC" w:sz="1"/>
            </w:tcBorders>
            <w:shd w:fill="ECEDF7" w:val="clear"/>
            <w:tcMar>
              <w:top w:type="dxa" w:w="80"/>
              <w:left w:type="dxa" w:w="140"/>
              <w:bottom w:type="dxa" w:w="80"/>
              <w:right w:type="dxa" w:w="100"/>
            </w:tcMar>
            <w:vAlign w:val="center"/>
          </w:tcPr>
          <w:p>
            <w:r>
              <w:rPr>
                <w:rFonts w:ascii="Arial" w:cs="Arial" w:eastAsia="Arial" w:hAnsi="Arial"/>
                <w:b/>
                <w:bCs/>
                <w:color w:val="3B3F8C"/>
                <w:sz w:val="19"/>
                <w:szCs w:val="19"/>
              </w:rPr>
              <w:t xml:space="preserve">Originality</w:t>
            </w:r>
          </w:p>
        </w:tc>
        <w:tc>
          <w:tcPr>
            <w:tcW w:type="dxa" w:w="73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tcPr>
          <w:p>
            <w:r>
              <w:rPr>
                <w:rFonts w:ascii="Arial" w:cs="Arial" w:eastAsia="Arial" w:hAnsi="Arial"/>
                <w:color w:val="333333"/>
                <w:sz w:val="19"/>
                <w:szCs w:val="19"/>
              </w:rPr>
              <w:t xml:space="preserve">Distinctiveness from existing designs and uniqueness of concept</w:t>
            </w:r>
          </w:p>
        </w:tc>
      </w:tr>
      <w:tr>
        <w:tc>
          <w:tcPr>
            <w:tcW w:type="dxa" w:w="2000"/>
            <w:tcBorders>
              <w:top w:val="single" w:color="CCCCCC" w:sz="1"/>
              <w:left w:val="single" w:color="CCCCCC" w:sz="1"/>
              <w:bottom w:val="single" w:color="CCCCCC" w:sz="1"/>
              <w:right w:val="single" w:color="CCCCCC" w:sz="1"/>
            </w:tcBorders>
            <w:shd w:fill="D2D4EE" w:val="clear"/>
            <w:tcMar>
              <w:top w:type="dxa" w:w="80"/>
              <w:left w:type="dxa" w:w="140"/>
              <w:bottom w:type="dxa" w:w="80"/>
              <w:right w:type="dxa" w:w="100"/>
            </w:tcMar>
            <w:vAlign w:val="center"/>
          </w:tcPr>
          <w:p>
            <w:r>
              <w:rPr>
                <w:rFonts w:ascii="Arial" w:cs="Arial" w:eastAsia="Arial" w:hAnsi="Arial"/>
                <w:b/>
                <w:bCs/>
                <w:color w:val="3B3F8C"/>
                <w:sz w:val="19"/>
                <w:szCs w:val="19"/>
              </w:rPr>
              <w:t xml:space="preserve">Aesthetics</w:t>
            </w:r>
          </w:p>
        </w:tc>
        <w:tc>
          <w:tcPr>
            <w:tcW w:type="dxa" w:w="7360"/>
            <w:tcBorders>
              <w:top w:val="single" w:color="CCCCCC" w:sz="1"/>
              <w:left w:val="single" w:color="CCCCCC" w:sz="1"/>
              <w:bottom w:val="single" w:color="CCCCCC" w:sz="1"/>
              <w:right w:val="single" w:color="CCCCCC" w:sz="1"/>
            </w:tcBorders>
            <w:shd w:fill="FAFAFA" w:val="clear"/>
            <w:tcMar>
              <w:top w:type="dxa" w:w="80"/>
              <w:left w:type="dxa" w:w="140"/>
              <w:bottom w:type="dxa" w:w="80"/>
              <w:right w:type="dxa" w:w="100"/>
            </w:tcMar>
          </w:tcPr>
          <w:p>
            <w:r>
              <w:rPr>
                <w:rFonts w:ascii="Arial" w:cs="Arial" w:eastAsia="Arial" w:hAnsi="Arial"/>
                <w:color w:val="333333"/>
                <w:sz w:val="19"/>
                <w:szCs w:val="19"/>
              </w:rPr>
              <w:t xml:space="preserve">Harmonious expression of artistry, decorative beauty, and functionality</w:t>
            </w:r>
          </w:p>
        </w:tc>
      </w:tr>
      <w:tr>
        <w:tc>
          <w:tcPr>
            <w:tcW w:type="dxa" w:w="2000"/>
            <w:tcBorders>
              <w:top w:val="single" w:color="CCCCCC" w:sz="1"/>
              <w:left w:val="single" w:color="CCCCCC" w:sz="1"/>
              <w:bottom w:val="single" w:color="CCCCCC" w:sz="1"/>
              <w:right w:val="single" w:color="CCCCCC" w:sz="1"/>
            </w:tcBorders>
            <w:shd w:fill="ECEDF7" w:val="clear"/>
            <w:tcMar>
              <w:top w:type="dxa" w:w="80"/>
              <w:left w:type="dxa" w:w="140"/>
              <w:bottom w:type="dxa" w:w="80"/>
              <w:right w:type="dxa" w:w="100"/>
            </w:tcMar>
            <w:vAlign w:val="center"/>
          </w:tcPr>
          <w:p>
            <w:r>
              <w:rPr>
                <w:rFonts w:ascii="Arial" w:cs="Arial" w:eastAsia="Arial" w:hAnsi="Arial"/>
                <w:b/>
                <w:bCs/>
                <w:color w:val="3B3F8C"/>
                <w:sz w:val="19"/>
                <w:szCs w:val="19"/>
              </w:rPr>
              <w:t xml:space="preserve">Technique Application</w:t>
            </w:r>
          </w:p>
        </w:tc>
        <w:tc>
          <w:tcPr>
            <w:tcW w:type="dxa" w:w="736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00"/>
            </w:tcMar>
          </w:tcPr>
          <w:p>
            <w:r>
              <w:rPr>
                <w:rFonts w:ascii="Arial" w:cs="Arial" w:eastAsia="Arial" w:hAnsi="Arial"/>
                <w:color w:val="333333"/>
                <w:sz w:val="19"/>
                <w:szCs w:val="19"/>
              </w:rPr>
              <w:t xml:space="preserve">Appropriate use of natural dyeing methods and feasibility as a cultural product</w:t>
            </w:r>
          </w:p>
        </w:tc>
      </w:tr>
      <w:tr>
        <w:tc>
          <w:tcPr>
            <w:tcW w:type="dxa" w:w="2000"/>
            <w:tcBorders>
              <w:top w:val="single" w:color="CCCCCC" w:sz="1"/>
              <w:left w:val="single" w:color="CCCCCC" w:sz="1"/>
              <w:bottom w:val="single" w:color="CCCCCC" w:sz="1"/>
              <w:right w:val="single" w:color="CCCCCC" w:sz="1"/>
            </w:tcBorders>
            <w:shd w:fill="D2D4EE" w:val="clear"/>
            <w:tcMar>
              <w:top w:type="dxa" w:w="80"/>
              <w:left w:type="dxa" w:w="140"/>
              <w:bottom w:type="dxa" w:w="80"/>
              <w:right w:type="dxa" w:w="100"/>
            </w:tcMar>
            <w:vAlign w:val="center"/>
          </w:tcPr>
          <w:p>
            <w:r>
              <w:rPr>
                <w:rFonts w:ascii="Arial" w:cs="Arial" w:eastAsia="Arial" w:hAnsi="Arial"/>
                <w:b/>
                <w:bCs/>
                <w:color w:val="3B3F8C"/>
                <w:sz w:val="19"/>
                <w:szCs w:val="19"/>
              </w:rPr>
              <w:t xml:space="preserve">Completeness</w:t>
            </w:r>
          </w:p>
        </w:tc>
        <w:tc>
          <w:tcPr>
            <w:tcW w:type="dxa" w:w="7360"/>
            <w:tcBorders>
              <w:top w:val="single" w:color="CCCCCC" w:sz="1"/>
              <w:left w:val="single" w:color="CCCCCC" w:sz="1"/>
              <w:bottom w:val="single" w:color="CCCCCC" w:sz="1"/>
              <w:right w:val="single" w:color="CCCCCC" w:sz="1"/>
            </w:tcBorders>
            <w:shd w:fill="FAFAFA" w:val="clear"/>
            <w:tcMar>
              <w:top w:type="dxa" w:w="80"/>
              <w:left w:type="dxa" w:w="140"/>
              <w:bottom w:type="dxa" w:w="80"/>
              <w:right w:type="dxa" w:w="100"/>
            </w:tcMar>
          </w:tcPr>
          <w:p>
            <w:r>
              <w:rPr>
                <w:rFonts w:ascii="Arial" w:cs="Arial" w:eastAsia="Arial" w:hAnsi="Arial"/>
                <w:color w:val="333333"/>
                <w:sz w:val="19"/>
                <w:szCs w:val="19"/>
              </w:rPr>
              <w:t xml:space="preserve">Overall finish in terms of material, form, and color</w:t>
            </w:r>
          </w:p>
        </w:tc>
      </w:tr>
    </w:tbl>
    <w:p>
      <w:pPr>
        <w:spacing w:after="30" w:before="40"/>
      </w:pPr>
    </w:p>
    <w:p>
      <w:pPr>
        <w:spacing w:after="25" w:before="25"/>
        <w:ind w:left="360" w:hanging="200"/>
      </w:pPr>
      <w:r>
        <w:rPr>
          <w:rFonts w:ascii="Arial" w:cs="Arial" w:eastAsia="Arial" w:hAnsi="Arial"/>
          <w:color w:val="8B6914"/>
          <w:sz w:val="18"/>
          <w:szCs w:val="18"/>
        </w:rPr>
        <w:t xml:space="preserve">※ </w:t>
      </w:r>
      <w:r>
        <w:rPr>
          <w:rFonts w:ascii="Arial" w:cs="Arial" w:eastAsia="Arial" w:hAnsi="Arial"/>
          <w:i/>
          <w:iCs/>
          <w:color w:val="555555"/>
          <w:sz w:val="18"/>
          <w:szCs w:val="18"/>
        </w:rPr>
        <w:t xml:space="preserve">Results will be announced on the Korea Natural Dyeing Museum website (Notices section).</w:t>
      </w:r>
    </w:p>
    <w:p>
      <w:pPr>
        <w:spacing w:after="80" w:before="200"/>
      </w:pPr>
    </w:p>
    <w:p>
      <w:pPr>
        <w:pBdr>
          <w:bottom w:val="single" w:color="8B8FC5" w:sz="8" w:space="4"/>
        </w:pBdr>
        <w:spacing w:after="120" w:before="280"/>
      </w:pPr>
      <w:r>
        <w:rPr>
          <w:rFonts w:ascii="Arial" w:cs="Arial" w:eastAsia="Arial" w:hAnsi="Arial"/>
          <w:b/>
          <w:bCs/>
          <w:color w:val="3B3F8C"/>
          <w:sz w:val="26"/>
          <w:szCs w:val="26"/>
        </w:rPr>
        <w:t xml:space="preserve">Awards</w:t>
      </w:r>
    </w:p>
    <w:p>
      <w:pPr>
        <w:spacing w:after="40" w:before="6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200"/>
        <w:gridCol w:w="1400"/>
        <w:gridCol w:w="2000"/>
        <w:gridCol w:w="1560"/>
      </w:tblGrid>
      <w:tr>
        <w:tc>
          <w:tcPr>
            <w:tcW w:type="dxa" w:w="2200"/>
            <w:tcBorders>
              <w:top w:val="single" w:color="CCCCCC" w:sz="1"/>
              <w:left w:val="single" w:color="CCCCCC" w:sz="1"/>
              <w:bottom w:val="single" w:color="CCCCCC" w:sz="1"/>
              <w:right w:val="single" w:color="CCCCCC" w:sz="1"/>
            </w:tcBorders>
            <w:shd w:fill="3B3F8C" w:val="clear"/>
            <w:tcMar>
              <w:top w:type="dxa" w:w="90"/>
              <w:left w:type="dxa" w:w="100"/>
              <w:bottom w:type="dxa" w:w="90"/>
              <w:right w:type="dxa" w:w="80"/>
            </w:tcMar>
          </w:tcPr>
          <w:p>
            <w:pPr>
              <w:jc w:val="center"/>
            </w:pPr>
            <w:r>
              <w:rPr>
                <w:rFonts w:ascii="Arial" w:cs="Arial" w:eastAsia="Arial" w:hAnsi="Arial"/>
                <w:b/>
                <w:bCs/>
                <w:color w:val="FFFFFF"/>
                <w:sz w:val="19"/>
                <w:szCs w:val="19"/>
              </w:rPr>
              <w:t xml:space="preserve">Award</w:t>
            </w:r>
          </w:p>
        </w:tc>
        <w:tc>
          <w:tcPr>
            <w:tcW w:type="dxa" w:w="2200"/>
            <w:tcBorders>
              <w:top w:val="single" w:color="CCCCCC" w:sz="1"/>
              <w:left w:val="single" w:color="CCCCCC" w:sz="1"/>
              <w:bottom w:val="single" w:color="CCCCCC" w:sz="1"/>
              <w:right w:val="single" w:color="CCCCCC" w:sz="1"/>
            </w:tcBorders>
            <w:shd w:fill="3B3F8C" w:val="clear"/>
            <w:tcMar>
              <w:top w:type="dxa" w:w="90"/>
              <w:left w:type="dxa" w:w="100"/>
              <w:bottom w:type="dxa" w:w="90"/>
              <w:right w:type="dxa" w:w="80"/>
            </w:tcMar>
          </w:tcPr>
          <w:p>
            <w:pPr>
              <w:jc w:val="center"/>
            </w:pPr>
            <w:r>
              <w:rPr>
                <w:rFonts w:ascii="Arial" w:cs="Arial" w:eastAsia="Arial" w:hAnsi="Arial"/>
                <w:b/>
                <w:bCs/>
                <w:color w:val="FFFFFF"/>
                <w:sz w:val="19"/>
                <w:szCs w:val="19"/>
              </w:rPr>
              <w:t xml:space="preserve">Presenter</w:t>
            </w:r>
          </w:p>
        </w:tc>
        <w:tc>
          <w:tcPr>
            <w:tcW w:type="dxa" w:w="1400"/>
            <w:tcBorders>
              <w:top w:val="single" w:color="CCCCCC" w:sz="1"/>
              <w:left w:val="single" w:color="CCCCCC" w:sz="1"/>
              <w:bottom w:val="single" w:color="CCCCCC" w:sz="1"/>
              <w:right w:val="single" w:color="CCCCCC" w:sz="1"/>
            </w:tcBorders>
            <w:shd w:fill="3B3F8C" w:val="clear"/>
            <w:tcMar>
              <w:top w:type="dxa" w:w="90"/>
              <w:left w:type="dxa" w:w="100"/>
              <w:bottom w:type="dxa" w:w="90"/>
              <w:right w:type="dxa" w:w="80"/>
            </w:tcMar>
          </w:tcPr>
          <w:p>
            <w:pPr>
              <w:jc w:val="center"/>
            </w:pPr>
            <w:r>
              <w:rPr>
                <w:rFonts w:ascii="Arial" w:cs="Arial" w:eastAsia="Arial" w:hAnsi="Arial"/>
                <w:b/>
                <w:bCs/>
                <w:color w:val="FFFFFF"/>
                <w:sz w:val="19"/>
                <w:szCs w:val="19"/>
              </w:rPr>
              <w:t xml:space="preserve">Recipients</w:t>
            </w:r>
          </w:p>
        </w:tc>
        <w:tc>
          <w:tcPr>
            <w:tcW w:type="dxa" w:w="2000"/>
            <w:tcBorders>
              <w:top w:val="single" w:color="CCCCCC" w:sz="1"/>
              <w:left w:val="single" w:color="CCCCCC" w:sz="1"/>
              <w:bottom w:val="single" w:color="CCCCCC" w:sz="1"/>
              <w:right w:val="single" w:color="CCCCCC" w:sz="1"/>
            </w:tcBorders>
            <w:shd w:fill="3B3F8C" w:val="clear"/>
            <w:tcMar>
              <w:top w:type="dxa" w:w="90"/>
              <w:left w:type="dxa" w:w="100"/>
              <w:bottom w:type="dxa" w:w="90"/>
              <w:right w:type="dxa" w:w="80"/>
            </w:tcMar>
          </w:tcPr>
          <w:p>
            <w:pPr>
              <w:jc w:val="center"/>
            </w:pPr>
            <w:r>
              <w:rPr>
                <w:rFonts w:ascii="Arial" w:cs="Arial" w:eastAsia="Arial" w:hAnsi="Arial"/>
                <w:b/>
                <w:bCs/>
                <w:color w:val="FFFFFF"/>
                <w:sz w:val="19"/>
                <w:szCs w:val="19"/>
              </w:rPr>
              <w:t xml:space="preserve">Prize Money</w:t>
            </w:r>
          </w:p>
        </w:tc>
        <w:tc>
          <w:tcPr>
            <w:tcW w:type="dxa" w:w="1560"/>
            <w:tcBorders>
              <w:top w:val="single" w:color="CCCCCC" w:sz="1"/>
              <w:left w:val="single" w:color="CCCCCC" w:sz="1"/>
              <w:bottom w:val="single" w:color="CCCCCC" w:sz="1"/>
              <w:right w:val="single" w:color="CCCCCC" w:sz="1"/>
            </w:tcBorders>
            <w:shd w:fill="3B3F8C" w:val="clear"/>
            <w:tcMar>
              <w:top w:type="dxa" w:w="90"/>
              <w:left w:type="dxa" w:w="100"/>
              <w:bottom w:type="dxa" w:w="90"/>
              <w:right w:type="dxa" w:w="80"/>
            </w:tcMar>
          </w:tcPr>
          <w:p>
            <w:pPr>
              <w:jc w:val="center"/>
            </w:pPr>
            <w:r>
              <w:rPr>
                <w:rFonts w:ascii="Arial" w:cs="Arial" w:eastAsia="Arial" w:hAnsi="Arial"/>
                <w:b/>
                <w:bCs/>
                <w:color w:val="FFFFFF"/>
                <w:sz w:val="19"/>
                <w:szCs w:val="19"/>
              </w:rPr>
              <w:t xml:space="preserve">Remarks</w:t>
            </w:r>
          </w:p>
        </w:tc>
      </w:tr>
      <w:tr>
        <w:tc>
          <w:tcPr>
            <w:tcW w:type="dxa" w:w="220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left"/>
            </w:pPr>
            <w:r>
              <w:rPr>
                <w:rFonts w:ascii="Arial" w:cs="Arial" w:eastAsia="Arial" w:hAnsi="Arial"/>
                <w:b/>
                <w:bCs/>
                <w:color w:val="3B3F8C"/>
                <w:sz w:val="18"/>
                <w:szCs w:val="18"/>
              </w:rPr>
              <w:t xml:space="preserve">Grand Prize (대상)</w:t>
            </w:r>
          </w:p>
        </w:tc>
        <w:tc>
          <w:tcPr>
            <w:tcW w:type="dxa" w:w="220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left"/>
            </w:pPr>
            <w:r>
              <w:rPr>
                <w:rFonts w:ascii="Arial" w:cs="Arial" w:eastAsia="Arial" w:hAnsi="Arial"/>
                <w:b w:val="false"/>
                <w:bCs w:val="false"/>
                <w:color w:val="333333"/>
                <w:sz w:val="18"/>
                <w:szCs w:val="18"/>
              </w:rPr>
              <w:t xml:space="preserve">Minister of Culture, Sports and Tourism</w:t>
            </w:r>
          </w:p>
        </w:tc>
        <w:tc>
          <w:tcPr>
            <w:tcW w:type="dxa" w:w="140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center"/>
            </w:pPr>
            <w:r>
              <w:rPr>
                <w:rFonts w:ascii="Arial" w:cs="Arial" w:eastAsia="Arial" w:hAnsi="Arial"/>
                <w:b w:val="false"/>
                <w:bCs w:val="false"/>
                <w:color w:val="333333"/>
                <w:sz w:val="18"/>
                <w:szCs w:val="18"/>
              </w:rPr>
              <w:t xml:space="preserve">1</w:t>
            </w:r>
          </w:p>
        </w:tc>
        <w:tc>
          <w:tcPr>
            <w:tcW w:type="dxa" w:w="200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center"/>
            </w:pPr>
            <w:r>
              <w:rPr>
                <w:rFonts w:ascii="Arial" w:cs="Arial" w:eastAsia="Arial" w:hAnsi="Arial"/>
                <w:b w:val="false"/>
                <w:bCs w:val="false"/>
                <w:color w:val="333333"/>
                <w:sz w:val="18"/>
                <w:szCs w:val="18"/>
              </w:rPr>
              <w:t xml:space="preserve">KRW 10,000,000</w:t>
            </w:r>
          </w:p>
        </w:tc>
        <w:tc>
          <w:tcPr>
            <w:tcW w:type="dxa" w:w="156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left"/>
            </w:pPr>
            <w:r>
              <w:rPr>
                <w:rFonts w:ascii="Arial" w:cs="Arial" w:eastAsia="Arial" w:hAnsi="Arial"/>
                <w:b w:val="false"/>
                <w:bCs w:val="false"/>
                <w:color w:val="333333"/>
                <w:sz w:val="18"/>
                <w:szCs w:val="18"/>
              </w:rPr>
              <w:t xml:space="preserve">Certificate + Prize</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left"/>
            </w:pPr>
            <w:r>
              <w:rPr>
                <w:rFonts w:ascii="Arial" w:cs="Arial" w:eastAsia="Arial" w:hAnsi="Arial"/>
                <w:b/>
                <w:bCs/>
                <w:color w:val="3B3F8C"/>
                <w:sz w:val="18"/>
                <w:szCs w:val="18"/>
              </w:rPr>
              <w:t xml:space="preserve">Gold Prize (금상)</w:t>
            </w:r>
          </w:p>
        </w:tc>
        <w:tc>
          <w:tcPr>
            <w:tcW w:type="dxa" w:w="22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left"/>
            </w:pPr>
            <w:r>
              <w:rPr>
                <w:rFonts w:ascii="Arial" w:cs="Arial" w:eastAsia="Arial" w:hAnsi="Arial"/>
                <w:b w:val="false"/>
                <w:bCs w:val="false"/>
                <w:color w:val="333333"/>
                <w:sz w:val="18"/>
                <w:szCs w:val="18"/>
              </w:rPr>
              <w:t xml:space="preserve">Governor of Jeollanam-do</w:t>
            </w:r>
          </w:p>
        </w:tc>
        <w:tc>
          <w:tcPr>
            <w:tcW w:type="dxa" w:w="14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center"/>
            </w:pPr>
            <w:r>
              <w:rPr>
                <w:rFonts w:ascii="Arial" w:cs="Arial" w:eastAsia="Arial" w:hAnsi="Arial"/>
                <w:b w:val="false"/>
                <w:bCs w:val="false"/>
                <w:color w:val="333333"/>
                <w:sz w:val="18"/>
                <w:szCs w:val="18"/>
              </w:rPr>
              <w:t xml:space="preserve">1</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center"/>
            </w:pPr>
            <w:r>
              <w:rPr>
                <w:rFonts w:ascii="Arial" w:cs="Arial" w:eastAsia="Arial" w:hAnsi="Arial"/>
                <w:b w:val="false"/>
                <w:bCs w:val="false"/>
                <w:color w:val="333333"/>
                <w:sz w:val="18"/>
                <w:szCs w:val="18"/>
              </w:rPr>
              <w:t xml:space="preserve">KRW 2,000,000</w:t>
            </w:r>
          </w:p>
        </w:tc>
        <w:tc>
          <w:tcPr>
            <w:tcW w:type="dxa" w:w="156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left"/>
            </w:pPr>
            <w:r>
              <w:rPr>
                <w:rFonts w:ascii="Arial" w:cs="Arial" w:eastAsia="Arial" w:hAnsi="Arial"/>
                <w:b w:val="false"/>
                <w:bCs w:val="false"/>
                <w:color w:val="333333"/>
                <w:sz w:val="18"/>
                <w:szCs w:val="18"/>
              </w:rPr>
              <w:t xml:space="preserve">Certificate + Prize</w:t>
            </w:r>
          </w:p>
        </w:tc>
      </w:tr>
      <w:tr>
        <w:tc>
          <w:tcPr>
            <w:tcW w:type="dxa" w:w="220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left"/>
            </w:pPr>
            <w:r>
              <w:rPr>
                <w:rFonts w:ascii="Arial" w:cs="Arial" w:eastAsia="Arial" w:hAnsi="Arial"/>
                <w:b/>
                <w:bCs/>
                <w:color w:val="3B3F8C"/>
                <w:sz w:val="18"/>
                <w:szCs w:val="18"/>
              </w:rPr>
              <w:t xml:space="preserve">Silver Prize (은상)</w:t>
            </w:r>
          </w:p>
        </w:tc>
        <w:tc>
          <w:tcPr>
            <w:tcW w:type="dxa" w:w="220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left"/>
            </w:pPr>
            <w:r>
              <w:rPr>
                <w:rFonts w:ascii="Arial" w:cs="Arial" w:eastAsia="Arial" w:hAnsi="Arial"/>
                <w:b w:val="false"/>
                <w:bCs w:val="false"/>
                <w:color w:val="333333"/>
                <w:sz w:val="18"/>
                <w:szCs w:val="18"/>
              </w:rPr>
              <w:t xml:space="preserve">Mayor of Naju City</w:t>
            </w:r>
          </w:p>
        </w:tc>
        <w:tc>
          <w:tcPr>
            <w:tcW w:type="dxa" w:w="140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center"/>
            </w:pPr>
            <w:r>
              <w:rPr>
                <w:rFonts w:ascii="Arial" w:cs="Arial" w:eastAsia="Arial" w:hAnsi="Arial"/>
                <w:b w:val="false"/>
                <w:bCs w:val="false"/>
                <w:color w:val="333333"/>
                <w:sz w:val="18"/>
                <w:szCs w:val="18"/>
              </w:rPr>
              <w:t xml:space="preserve">2</w:t>
            </w:r>
          </w:p>
        </w:tc>
        <w:tc>
          <w:tcPr>
            <w:tcW w:type="dxa" w:w="200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center"/>
            </w:pPr>
            <w:r>
              <w:rPr>
                <w:rFonts w:ascii="Arial" w:cs="Arial" w:eastAsia="Arial" w:hAnsi="Arial"/>
                <w:b w:val="false"/>
                <w:bCs w:val="false"/>
                <w:color w:val="333333"/>
                <w:sz w:val="18"/>
                <w:szCs w:val="18"/>
              </w:rPr>
              <w:t xml:space="preserve">KRW 1,000,000 each</w:t>
            </w:r>
          </w:p>
        </w:tc>
        <w:tc>
          <w:tcPr>
            <w:tcW w:type="dxa" w:w="156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left"/>
            </w:pPr>
            <w:r>
              <w:rPr>
                <w:rFonts w:ascii="Arial" w:cs="Arial" w:eastAsia="Arial" w:hAnsi="Arial"/>
                <w:b w:val="false"/>
                <w:bCs w:val="false"/>
                <w:color w:val="333333"/>
                <w:sz w:val="18"/>
                <w:szCs w:val="18"/>
              </w:rPr>
              <w:t xml:space="preserve">Certificate + Prize</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left"/>
            </w:pPr>
            <w:r>
              <w:rPr>
                <w:rFonts w:ascii="Arial" w:cs="Arial" w:eastAsia="Arial" w:hAnsi="Arial"/>
                <w:b/>
                <w:bCs/>
                <w:color w:val="3B3F8C"/>
                <w:sz w:val="18"/>
                <w:szCs w:val="18"/>
              </w:rPr>
              <w:t xml:space="preserve">Bronze Prize (동상)</w:t>
            </w:r>
          </w:p>
        </w:tc>
        <w:tc>
          <w:tcPr>
            <w:tcW w:type="dxa" w:w="22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left"/>
            </w:pPr>
            <w:r>
              <w:rPr>
                <w:rFonts w:ascii="Arial" w:cs="Arial" w:eastAsia="Arial" w:hAnsi="Arial"/>
                <w:b w:val="false"/>
                <w:bCs w:val="false"/>
                <w:color w:val="333333"/>
                <w:sz w:val="18"/>
                <w:szCs w:val="18"/>
              </w:rPr>
              <w:t xml:space="preserve">Korea Natural Dyeing Museum</w:t>
            </w:r>
          </w:p>
        </w:tc>
        <w:tc>
          <w:tcPr>
            <w:tcW w:type="dxa" w:w="14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center"/>
            </w:pPr>
            <w:r>
              <w:rPr>
                <w:rFonts w:ascii="Arial" w:cs="Arial" w:eastAsia="Arial" w:hAnsi="Arial"/>
                <w:b w:val="false"/>
                <w:bCs w:val="false"/>
                <w:color w:val="333333"/>
                <w:sz w:val="18"/>
                <w:szCs w:val="18"/>
              </w:rPr>
              <w:t xml:space="preserve">3</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center"/>
            </w:pPr>
            <w:r>
              <w:rPr>
                <w:rFonts w:ascii="Arial" w:cs="Arial" w:eastAsia="Arial" w:hAnsi="Arial"/>
                <w:b w:val="false"/>
                <w:bCs w:val="false"/>
                <w:color w:val="333333"/>
                <w:sz w:val="18"/>
                <w:szCs w:val="18"/>
              </w:rPr>
              <w:t xml:space="preserve">KRW 500,000 each</w:t>
            </w:r>
          </w:p>
        </w:tc>
        <w:tc>
          <w:tcPr>
            <w:tcW w:type="dxa" w:w="156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left"/>
            </w:pPr>
            <w:r>
              <w:rPr>
                <w:rFonts w:ascii="Arial" w:cs="Arial" w:eastAsia="Arial" w:hAnsi="Arial"/>
                <w:b w:val="false"/>
                <w:bCs w:val="false"/>
                <w:color w:val="333333"/>
                <w:sz w:val="18"/>
                <w:szCs w:val="18"/>
              </w:rPr>
              <w:t xml:space="preserve">Certificate + Prize</w:t>
            </w:r>
          </w:p>
        </w:tc>
      </w:tr>
      <w:tr>
        <w:tc>
          <w:tcPr>
            <w:tcW w:type="dxa" w:w="220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left"/>
            </w:pPr>
            <w:r>
              <w:rPr>
                <w:rFonts w:ascii="Arial" w:cs="Arial" w:eastAsia="Arial" w:hAnsi="Arial"/>
                <w:b/>
                <w:bCs/>
                <w:color w:val="3B3F8C"/>
                <w:sz w:val="18"/>
                <w:szCs w:val="18"/>
              </w:rPr>
              <w:t xml:space="preserve">Honorable Mention (특선)</w:t>
            </w:r>
          </w:p>
        </w:tc>
        <w:tc>
          <w:tcPr>
            <w:tcW w:type="dxa" w:w="220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left"/>
            </w:pPr>
            <w:r>
              <w:rPr>
                <w:rFonts w:ascii="Arial" w:cs="Arial" w:eastAsia="Arial" w:hAnsi="Arial"/>
                <w:b w:val="false"/>
                <w:bCs w:val="false"/>
                <w:color w:val="333333"/>
                <w:sz w:val="18"/>
                <w:szCs w:val="18"/>
              </w:rPr>
              <w:t xml:space="preserve">—</w:t>
            </w:r>
          </w:p>
        </w:tc>
        <w:tc>
          <w:tcPr>
            <w:tcW w:type="dxa" w:w="140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center"/>
            </w:pPr>
            <w:r>
              <w:rPr>
                <w:rFonts w:ascii="Arial" w:cs="Arial" w:eastAsia="Arial" w:hAnsi="Arial"/>
                <w:b w:val="false"/>
                <w:bCs w:val="false"/>
                <w:color w:val="333333"/>
                <w:sz w:val="18"/>
                <w:szCs w:val="18"/>
              </w:rPr>
              <w:t xml:space="preserve">—</w:t>
            </w:r>
          </w:p>
        </w:tc>
        <w:tc>
          <w:tcPr>
            <w:tcW w:type="dxa" w:w="200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center"/>
            </w:pPr>
            <w:r>
              <w:rPr>
                <w:rFonts w:ascii="Arial" w:cs="Arial" w:eastAsia="Arial" w:hAnsi="Arial"/>
                <w:b w:val="false"/>
                <w:bCs w:val="false"/>
                <w:color w:val="333333"/>
                <w:sz w:val="18"/>
                <w:szCs w:val="18"/>
              </w:rPr>
              <w:t xml:space="preserve">—</w:t>
            </w:r>
          </w:p>
        </w:tc>
        <w:tc>
          <w:tcPr>
            <w:tcW w:type="dxa" w:w="1560"/>
            <w:tcBorders>
              <w:top w:val="single" w:color="CCCCCC" w:sz="1"/>
              <w:left w:val="single" w:color="CCCCCC" w:sz="1"/>
              <w:bottom w:val="single" w:color="CCCCCC" w:sz="1"/>
              <w:right w:val="single" w:color="CCCCCC" w:sz="1"/>
            </w:tcBorders>
            <w:shd w:fill="ECEDF7" w:val="clear"/>
            <w:tcMar>
              <w:top w:type="dxa" w:w="80"/>
              <w:left w:type="dxa" w:w="100"/>
              <w:bottom w:type="dxa" w:w="80"/>
              <w:right w:type="dxa" w:w="80"/>
            </w:tcMar>
            <w:vAlign w:val="center"/>
          </w:tcPr>
          <w:p>
            <w:pPr>
              <w:jc w:val="left"/>
            </w:pPr>
            <w:r>
              <w:rPr>
                <w:rFonts w:ascii="Arial" w:cs="Arial" w:eastAsia="Arial" w:hAnsi="Arial"/>
                <w:b w:val="false"/>
                <w:bCs w:val="false"/>
                <w:color w:val="333333"/>
                <w:sz w:val="18"/>
                <w:szCs w:val="18"/>
              </w:rPr>
              <w:t xml:space="preserve">Certificate only</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left"/>
            </w:pPr>
            <w:r>
              <w:rPr>
                <w:rFonts w:ascii="Arial" w:cs="Arial" w:eastAsia="Arial" w:hAnsi="Arial"/>
                <w:b/>
                <w:bCs/>
                <w:color w:val="3B3F8C"/>
                <w:sz w:val="18"/>
                <w:szCs w:val="18"/>
              </w:rPr>
              <w:t xml:space="preserve">Selected Work (입선)</w:t>
            </w:r>
          </w:p>
        </w:tc>
        <w:tc>
          <w:tcPr>
            <w:tcW w:type="dxa" w:w="22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left"/>
            </w:pPr>
            <w:r>
              <w:rPr>
                <w:rFonts w:ascii="Arial" w:cs="Arial" w:eastAsia="Arial" w:hAnsi="Arial"/>
                <w:b w:val="false"/>
                <w:bCs w:val="false"/>
                <w:color w:val="333333"/>
                <w:sz w:val="18"/>
                <w:szCs w:val="18"/>
              </w:rPr>
              <w:t xml:space="preserve">—</w:t>
            </w:r>
          </w:p>
        </w:tc>
        <w:tc>
          <w:tcPr>
            <w:tcW w:type="dxa" w:w="14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center"/>
            </w:pPr>
            <w:r>
              <w:rPr>
                <w:rFonts w:ascii="Arial" w:cs="Arial" w:eastAsia="Arial" w:hAnsi="Arial"/>
                <w:b w:val="false"/>
                <w:bCs w:val="false"/>
                <w:color w:val="333333"/>
                <w:sz w:val="18"/>
                <w:szCs w:val="18"/>
              </w:rPr>
              <w:t xml:space="preserve">—</w:t>
            </w:r>
          </w:p>
        </w:tc>
        <w:tc>
          <w:tcPr>
            <w:tcW w:type="dxa" w:w="200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center"/>
            </w:pPr>
            <w:r>
              <w:rPr>
                <w:rFonts w:ascii="Arial" w:cs="Arial" w:eastAsia="Arial" w:hAnsi="Arial"/>
                <w:b w:val="false"/>
                <w:bCs w:val="false"/>
                <w:color w:val="333333"/>
                <w:sz w:val="18"/>
                <w:szCs w:val="18"/>
              </w:rPr>
              <w:t xml:space="preserve">—</w:t>
            </w:r>
          </w:p>
        </w:tc>
        <w:tc>
          <w:tcPr>
            <w:tcW w:type="dxa" w:w="1560"/>
            <w:tcBorders>
              <w:top w:val="single" w:color="CCCCCC" w:sz="1"/>
              <w:left w:val="single" w:color="CCCCCC" w:sz="1"/>
              <w:bottom w:val="single" w:color="CCCCCC" w:sz="1"/>
              <w:right w:val="single" w:color="CCCCCC" w:sz="1"/>
            </w:tcBorders>
            <w:shd w:fill="FFFFFF" w:val="clear"/>
            <w:tcMar>
              <w:top w:type="dxa" w:w="80"/>
              <w:left w:type="dxa" w:w="100"/>
              <w:bottom w:type="dxa" w:w="80"/>
              <w:right w:type="dxa" w:w="80"/>
            </w:tcMar>
            <w:vAlign w:val="center"/>
          </w:tcPr>
          <w:p>
            <w:pPr>
              <w:jc w:val="left"/>
            </w:pPr>
            <w:r>
              <w:rPr>
                <w:rFonts w:ascii="Arial" w:cs="Arial" w:eastAsia="Arial" w:hAnsi="Arial"/>
                <w:b w:val="false"/>
                <w:bCs w:val="false"/>
                <w:color w:val="333333"/>
                <w:sz w:val="18"/>
                <w:szCs w:val="18"/>
              </w:rPr>
              <w:t xml:space="preserve">Certificate only</w:t>
            </w:r>
          </w:p>
        </w:tc>
      </w:tr>
    </w:tbl>
    <w:p>
      <w:pPr>
        <w:spacing w:after="30" w:before="40"/>
      </w:pPr>
    </w:p>
    <w:p>
      <w:pPr>
        <w:spacing w:after="25" w:before="25"/>
        <w:ind w:left="360" w:hanging="200"/>
      </w:pPr>
      <w:r>
        <w:rPr>
          <w:rFonts w:ascii="Arial" w:cs="Arial" w:eastAsia="Arial" w:hAnsi="Arial"/>
          <w:color w:val="8B6914"/>
          <w:sz w:val="18"/>
          <w:szCs w:val="18"/>
        </w:rPr>
        <w:t xml:space="preserve">※ </w:t>
      </w:r>
      <w:r>
        <w:rPr>
          <w:rFonts w:ascii="Arial" w:cs="Arial" w:eastAsia="Arial" w:hAnsi="Arial"/>
          <w:i/>
          <w:iCs/>
          <w:color w:val="555555"/>
          <w:sz w:val="18"/>
          <w:szCs w:val="18"/>
        </w:rPr>
        <w:t xml:space="preserve">The number of awards may be adjusted or withheld based on the number and quality of submissions.</w:t>
      </w:r>
    </w:p>
    <w:p>
      <w:pPr>
        <w:spacing w:after="25" w:before="25"/>
        <w:ind w:left="360" w:hanging="200"/>
      </w:pPr>
      <w:r>
        <w:rPr>
          <w:rFonts w:ascii="Arial" w:cs="Arial" w:eastAsia="Arial" w:hAnsi="Arial"/>
          <w:color w:val="8B6914"/>
          <w:sz w:val="18"/>
          <w:szCs w:val="18"/>
        </w:rPr>
        <w:t xml:space="preserve">※ </w:t>
      </w:r>
      <w:r>
        <w:rPr>
          <w:rFonts w:ascii="Arial" w:cs="Arial" w:eastAsia="Arial" w:hAnsi="Arial"/>
          <w:i/>
          <w:iCs/>
          <w:color w:val="555555"/>
          <w:sz w:val="18"/>
          <w:szCs w:val="18"/>
        </w:rPr>
        <w:t xml:space="preserve">Prize money includes tax. For international recipients, prize money will be calculated at the exchange rate on the date of transfer and paid after deducting taxes and bank fees.</w:t>
      </w:r>
    </w:p>
    <w:p>
      <w:pPr>
        <w:spacing w:after="80" w:before="200"/>
      </w:pPr>
    </w:p>
    <w:p>
      <w:pPr>
        <w:pBdr>
          <w:bottom w:val="single" w:color="8B8FC5" w:sz="8" w:space="4"/>
        </w:pBdr>
        <w:spacing w:after="120" w:before="280"/>
      </w:pPr>
      <w:r>
        <w:rPr>
          <w:rFonts w:ascii="Arial" w:cs="Arial" w:eastAsia="Arial" w:hAnsi="Arial"/>
          <w:b/>
          <w:bCs/>
          <w:color w:val="3B3F8C"/>
          <w:sz w:val="26"/>
          <w:szCs w:val="26"/>
        </w:rPr>
        <w:t xml:space="preserve">Work Retrieval &amp; Transport</w:t>
      </w:r>
    </w:p>
    <w:p>
      <w:pPr>
        <w:spacing w:after="60" w:before="60"/>
      </w:pPr>
    </w:p>
    <w:p>
      <w:pPr>
        <w:spacing w:after="60" w:before="160"/>
      </w:pPr>
      <w:r>
        <w:rPr>
          <w:rFonts w:ascii="Arial" w:cs="Arial" w:eastAsia="Arial" w:hAnsi="Arial"/>
          <w:b/>
          <w:bCs/>
          <w:color w:val="3B3F8C"/>
          <w:sz w:val="22"/>
          <w:szCs w:val="22"/>
        </w:rPr>
        <w:t xml:space="preserve">A. Retrieval Deadlines</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Non-awarded works: Within 10 days after the conclusion of judging</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Awarded works: Within 10 days after the end of the exhibition</w:t>
      </w:r>
    </w:p>
    <w:p>
      <w:pPr>
        <w:spacing w:after="25" w:before="25"/>
        <w:ind w:left="360" w:hanging="200"/>
      </w:pPr>
      <w:r>
        <w:rPr>
          <w:rFonts w:ascii="Arial" w:cs="Arial" w:eastAsia="Arial" w:hAnsi="Arial"/>
          <w:color w:val="8B6914"/>
          <w:sz w:val="18"/>
          <w:szCs w:val="18"/>
        </w:rPr>
        <w:t xml:space="preserve">※ </w:t>
      </w:r>
      <w:r>
        <w:rPr>
          <w:rFonts w:ascii="Arial" w:cs="Arial" w:eastAsia="Arial" w:hAnsi="Arial"/>
          <w:i/>
          <w:iCs/>
          <w:color w:val="555555"/>
          <w:sz w:val="18"/>
          <w:szCs w:val="18"/>
        </w:rPr>
        <w:t xml:space="preserve">The Foundation assumes no storage liability for uncollected works after the deadline. Such works may be disposed of following prior notice.</w:t>
      </w:r>
    </w:p>
    <w:p>
      <w:pPr>
        <w:spacing w:after="40" w:before="80"/>
      </w:pPr>
    </w:p>
    <w:p>
      <w:pPr>
        <w:spacing w:after="60" w:before="160"/>
      </w:pPr>
      <w:r>
        <w:rPr>
          <w:rFonts w:ascii="Arial" w:cs="Arial" w:eastAsia="Arial" w:hAnsi="Arial"/>
          <w:b/>
          <w:bCs/>
          <w:color w:val="3B3F8C"/>
          <w:sz w:val="22"/>
          <w:szCs w:val="22"/>
        </w:rPr>
        <w:t xml:space="preserve">B. Shipping Responsibility</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Domestic works: All inbound and outbound shipping is the entrant's responsibility</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International works: Inbound shipping is the entrant's responsibility; outbound shipping is covered by the Foundation</w:t>
      </w:r>
    </w:p>
    <w:p>
      <w:pPr>
        <w:spacing w:after="25" w:before="25"/>
        <w:ind w:left="360" w:hanging="200"/>
      </w:pPr>
      <w:r>
        <w:rPr>
          <w:rFonts w:ascii="Arial" w:cs="Arial" w:eastAsia="Arial" w:hAnsi="Arial"/>
          <w:color w:val="8B6914"/>
          <w:sz w:val="18"/>
          <w:szCs w:val="18"/>
        </w:rPr>
        <w:t xml:space="preserve">※ </w:t>
      </w:r>
      <w:r>
        <w:rPr>
          <w:rFonts w:ascii="Arial" w:cs="Arial" w:eastAsia="Arial" w:hAnsi="Arial"/>
          <w:i/>
          <w:iCs/>
          <w:color w:val="555555"/>
          <w:sz w:val="18"/>
          <w:szCs w:val="18"/>
        </w:rPr>
        <w:t xml:space="preserve">If the entrant does not use a certified fine art shipping carrier, any customs clearance fees or additional costs that arise are the entrant's responsibility.</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Works may not be retrieved before the results are announced. Exhibition works will not be returned before the exhibition ends.</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Domestic works may be collected in person or via courier.</w:t>
      </w:r>
    </w:p>
    <w:p>
      <w:pPr>
        <w:spacing w:after="25" w:before="25"/>
        <w:ind w:left="360" w:hanging="200"/>
      </w:pPr>
      <w:r>
        <w:rPr>
          <w:rFonts w:ascii="Arial" w:cs="Arial" w:eastAsia="Arial" w:hAnsi="Arial"/>
          <w:color w:val="8B6914"/>
          <w:sz w:val="18"/>
          <w:szCs w:val="18"/>
        </w:rPr>
        <w:t xml:space="preserve">※ </w:t>
      </w:r>
      <w:r>
        <w:rPr>
          <w:rFonts w:ascii="Arial" w:cs="Arial" w:eastAsia="Arial" w:hAnsi="Arial"/>
          <w:i/>
          <w:iCs/>
          <w:color w:val="555555"/>
          <w:sz w:val="18"/>
          <w:szCs w:val="18"/>
        </w:rPr>
        <w:t xml:space="preserve">The Foundation is not liable for damage during shipping; however, exceptions apply in cases of intentional misconduct or gross negligence by the Foundation.</w:t>
      </w:r>
    </w:p>
    <w:p>
      <w:pPr>
        <w:spacing w:after="40" w:before="80"/>
      </w:pPr>
    </w:p>
    <w:p>
      <w:pPr>
        <w:spacing w:after="60" w:before="160"/>
      </w:pPr>
      <w:r>
        <w:rPr>
          <w:rFonts w:ascii="Arial" w:cs="Arial" w:eastAsia="Arial" w:hAnsi="Arial"/>
          <w:b/>
          <w:bCs/>
          <w:color w:val="3B3F8C"/>
          <w:sz w:val="22"/>
          <w:szCs w:val="22"/>
        </w:rPr>
        <w:t xml:space="preserve">C. Packaging Requirements</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All works must be securely packaged to prevent damage during transport. Both inner and outer packaging must be included for reuse upon return.</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Textiles and paper works must include a desiccant (moisture absorber) inside the packaging.</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International works must include a completed customs declaration form.</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If a work is damaged during delivery, participation in judging will be decided by mutual agreement between the Foundation and the entrant.</w:t>
      </w:r>
    </w:p>
    <w:p>
      <w:pPr>
        <w:spacing w:after="80" w:before="200"/>
      </w:pPr>
    </w:p>
    <w:p>
      <w:pPr>
        <w:pBdr>
          <w:bottom w:val="single" w:color="8B8FC5" w:sz="8" w:space="4"/>
        </w:pBdr>
        <w:spacing w:after="120" w:before="280"/>
      </w:pPr>
      <w:r>
        <w:rPr>
          <w:rFonts w:ascii="Arial" w:cs="Arial" w:eastAsia="Arial" w:hAnsi="Arial"/>
          <w:b/>
          <w:bCs/>
          <w:color w:val="3B3F8C"/>
          <w:sz w:val="26"/>
          <w:szCs w:val="26"/>
        </w:rPr>
        <w:t xml:space="preserve">Catalogue Photo Submission</w:t>
      </w:r>
    </w:p>
    <w:p>
      <w:pPr>
        <w:spacing w:after="40" w:before="60"/>
      </w:pP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After award results are announced, submit high-resolution photographs via the Foundation's Web Hard for catalogue production.</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File format: JPG or TIFF</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File size: 5 MB or larger</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Resolution: 300 dpi or higher</w:t>
      </w:r>
    </w:p>
    <w:p>
      <w:pPr>
        <w:spacing w:after="80" w:before="200"/>
      </w:pPr>
    </w:p>
    <w:p>
      <w:pPr>
        <w:pBdr>
          <w:bottom w:val="single" w:color="8B8FC5" w:sz="8" w:space="4"/>
        </w:pBdr>
        <w:spacing w:after="120" w:before="280"/>
      </w:pPr>
      <w:r>
        <w:rPr>
          <w:rFonts w:ascii="Arial" w:cs="Arial" w:eastAsia="Arial" w:hAnsi="Arial"/>
          <w:b/>
          <w:bCs/>
          <w:color w:val="3B3F8C"/>
          <w:sz w:val="26"/>
          <w:szCs w:val="26"/>
        </w:rPr>
        <w:t xml:space="preserve">Important Notes</w:t>
      </w:r>
    </w:p>
    <w:p>
      <w:pPr>
        <w:spacing w:after="60" w:before="60"/>
      </w:pPr>
    </w:p>
    <w:p>
      <w:pPr>
        <w:spacing w:after="60" w:before="160"/>
      </w:pPr>
      <w:r>
        <w:rPr>
          <w:rFonts w:ascii="Arial" w:cs="Arial" w:eastAsia="Arial" w:hAnsi="Arial"/>
          <w:b/>
          <w:bCs/>
          <w:color w:val="3B3F8C"/>
          <w:sz w:val="22"/>
          <w:szCs w:val="22"/>
        </w:rPr>
        <w:t xml:space="preserve">A. Copyright &amp; Promotional Use</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All intellectual property rights remain with the entrant.</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For award-winning works only, the Naju City Natural Dyeing Culture Foundation may reproduce, distribute, or use images, artist names, and work descriptions for non-commercial promotional purposes, with prior notice to the entrant.</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The entrant bears full legal responsibility for any copyright disputes arising from the submitted work.</w:t>
      </w:r>
    </w:p>
    <w:p>
      <w:pPr>
        <w:spacing w:after="40" w:before="80"/>
      </w:pPr>
    </w:p>
    <w:p>
      <w:pPr>
        <w:spacing w:after="60" w:before="160"/>
      </w:pPr>
      <w:r>
        <w:rPr>
          <w:rFonts w:ascii="Arial" w:cs="Arial" w:eastAsia="Arial" w:hAnsi="Arial"/>
          <w:b/>
          <w:bCs/>
          <w:color w:val="3B3F8C"/>
          <w:sz w:val="22"/>
          <w:szCs w:val="22"/>
        </w:rPr>
        <w:t xml:space="preserve">B. Prize Money &amp; Work Acquisition</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The Grand Prize and Gold Prize prize money includes the acquisition price of the work. Recipients of these awards must submit a written consent form regarding the transfer of ownership prior to the award ceremony.</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Acquired works become the property of the Foundation.</w:t>
      </w:r>
    </w:p>
    <w:p>
      <w:pPr>
        <w:spacing w:after="30" w:before="30"/>
        <w:ind w:left="360" w:hanging="200"/>
      </w:pPr>
      <w:r>
        <w:rPr>
          <w:rFonts w:ascii="Arial" w:cs="Arial" w:eastAsia="Arial" w:hAnsi="Arial"/>
          <w:b/>
          <w:bCs/>
          <w:color w:val="3B3F8C"/>
          <w:sz w:val="20"/>
          <w:szCs w:val="20"/>
        </w:rPr>
        <w:t xml:space="preserve">– </w:t>
      </w:r>
      <w:r>
        <w:rPr>
          <w:rFonts w:ascii="Arial" w:cs="Arial" w:eastAsia="Arial" w:hAnsi="Arial"/>
          <w:color w:val="333333"/>
          <w:sz w:val="20"/>
          <w:szCs w:val="20"/>
        </w:rPr>
        <w:t xml:space="preserve">If an award-winning work is objectively found to infringe on another party's intellectual property rights, the award will be cancelled and the prize money will be reclaimed.</w:t>
      </w:r>
    </w:p>
    <w:p>
      <w:pPr>
        <w:spacing w:after="100" w:before="200"/>
      </w:pPr>
    </w:p>
    <w:p>
      <w:pPr>
        <w:pBdr>
          <w:top w:val="single" w:color="8B8FC5" w:sz="4"/>
          <w:bottom w:val="single" w:color="8B8FC5" w:sz="4"/>
        </w:pBdr>
        <w:spacing w:after="100" w:before="100"/>
        <w:jc w:val="center"/>
      </w:pPr>
      <w:r>
        <w:rPr>
          <w:rFonts w:ascii="Arial" w:cs="Arial" w:eastAsia="Arial" w:hAnsi="Arial"/>
          <w:color w:val="888888"/>
          <w:sz w:val="18"/>
          <w:szCs w:val="18"/>
        </w:rPr>
        <w:t xml:space="preserve">Korea Natural Dyeing Museum  |  Naju City Natural Dyeing Culture Foundation</w:t>
      </w:r>
      <w:r>
        <w:rPr>
          <w:rFonts w:ascii="Arial" w:cs="Arial" w:eastAsia="Arial" w:hAnsi="Arial"/>
          <w:color w:val="888888"/>
          <w:sz w:val="18"/>
          <w:szCs w:val="18"/>
        </w:rPr>
        <w:t xml:space="preserve">   |   Tel. 061-335-6091   |   www.naturaldyeing.or.kr</w:t>
      </w:r>
    </w:p>
    <w:sectPr>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20" w:hanging="260"/>
      </w:pPr>
    </w:lvl>
  </w:abstractNum>
  <w:abstractNum w:abstractNumId="3" w15:restartNumberingAfterBreak="0">
    <w:multiLevelType w:val="hybridMultilevel"/>
    <w:lvl w:ilvl="0" w15:tentative="1">
      <w:start w:val="1"/>
      <w:numFmt w:val="lowerLetter"/>
      <w:lvlText w:val="%1."/>
      <w:lvlJc w:val="left"/>
      <w:pPr>
        <w:spacing w:after="40" w:before="80"/>
        <w:ind w:left="560" w:hanging="30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333333"/>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2026-04-09T08:17:25.427Z</dcterms:created>
  <dcterms:modified xsi:type="dcterms:W3CDTF">2026-04-09T08:17:25.428Z</dcterms:modified>
</cp:coreProperties>
</file>

<file path=docProps/custom.xml><?xml version="1.0" encoding="utf-8"?>
<Properties xmlns="http://schemas.openxmlformats.org/officeDocument/2006/custom-properties" xmlns:vt="http://schemas.openxmlformats.org/officeDocument/2006/docPropsVTypes"/>
</file>